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CA" w:rsidRPr="00F91727" w:rsidRDefault="00256CCA" w:rsidP="00BF1E71">
      <w:pPr>
        <w:ind w:left="5664" w:firstLine="147"/>
        <w:jc w:val="right"/>
        <w:rPr>
          <w:b/>
          <w:sz w:val="27"/>
          <w:szCs w:val="27"/>
        </w:rPr>
      </w:pPr>
      <w:r w:rsidRPr="00F91727">
        <w:rPr>
          <w:i/>
          <w:sz w:val="27"/>
          <w:szCs w:val="27"/>
        </w:rPr>
        <w:t>К заседанию Постоянной комиссии Генерального Совета ФНПР по социальным гарантиям                                1</w:t>
      </w:r>
      <w:r w:rsidR="00277AAE">
        <w:rPr>
          <w:i/>
          <w:sz w:val="27"/>
          <w:szCs w:val="27"/>
        </w:rPr>
        <w:t>5</w:t>
      </w:r>
      <w:r w:rsidRPr="00F91727">
        <w:rPr>
          <w:i/>
          <w:sz w:val="27"/>
          <w:szCs w:val="27"/>
        </w:rPr>
        <w:t xml:space="preserve"> ноября 2022  года</w:t>
      </w:r>
      <w:r w:rsidRPr="00F91727">
        <w:rPr>
          <w:b/>
          <w:sz w:val="27"/>
          <w:szCs w:val="27"/>
        </w:rPr>
        <w:t xml:space="preserve"> </w:t>
      </w:r>
    </w:p>
    <w:p w:rsidR="00256CCA" w:rsidRPr="00F91727" w:rsidRDefault="00256CCA" w:rsidP="00090E48">
      <w:pPr>
        <w:jc w:val="center"/>
        <w:rPr>
          <w:b/>
          <w:sz w:val="27"/>
          <w:szCs w:val="27"/>
        </w:rPr>
      </w:pPr>
    </w:p>
    <w:p w:rsidR="000427D7" w:rsidRPr="002E6735" w:rsidRDefault="000427D7" w:rsidP="00F91727">
      <w:pPr>
        <w:pStyle w:val="a6"/>
        <w:shd w:val="clear" w:color="auto" w:fill="FFFFFF"/>
        <w:spacing w:before="0" w:beforeAutospacing="0" w:after="0" w:afterAutospacing="0"/>
        <w:ind w:firstLine="567"/>
        <w:jc w:val="center"/>
        <w:rPr>
          <w:sz w:val="28"/>
          <w:szCs w:val="28"/>
        </w:rPr>
      </w:pPr>
      <w:r w:rsidRPr="002E6735">
        <w:rPr>
          <w:b/>
          <w:sz w:val="28"/>
          <w:szCs w:val="28"/>
        </w:rPr>
        <w:t>Об объединении внебюджетных фондов (пенсионного и социального страхования) в связи с принятием Федерального закона « О  государственном внебюджетном фонде «Фонд пенсионного и социального страхования РФ</w:t>
      </w:r>
      <w:r w:rsidRPr="002E6735">
        <w:rPr>
          <w:sz w:val="28"/>
          <w:szCs w:val="28"/>
        </w:rPr>
        <w:t>»</w:t>
      </w:r>
      <w:r w:rsidR="002E6735">
        <w:rPr>
          <w:sz w:val="28"/>
          <w:szCs w:val="28"/>
        </w:rPr>
        <w:t>.</w:t>
      </w:r>
    </w:p>
    <w:p w:rsidR="00256CCA" w:rsidRPr="00F91727" w:rsidRDefault="00256CCA" w:rsidP="00BF1E71">
      <w:pPr>
        <w:jc w:val="center"/>
        <w:rPr>
          <w:b/>
          <w:sz w:val="27"/>
          <w:szCs w:val="27"/>
        </w:rPr>
      </w:pPr>
    </w:p>
    <w:p w:rsidR="00020BC5" w:rsidRPr="00216FBD" w:rsidRDefault="00020BC5" w:rsidP="00BB0FAE">
      <w:pPr>
        <w:jc w:val="both"/>
        <w:rPr>
          <w:szCs w:val="28"/>
        </w:rPr>
      </w:pPr>
      <w:r w:rsidRPr="00216FBD">
        <w:rPr>
          <w:szCs w:val="28"/>
        </w:rPr>
        <w:t>ФНПР неоднократно заявляла в рамках реформирования пенсионной системы о важности повышения уровня социальной защиты наёмных работников, развития эффективной системы обязательного социального страхования. Особенно это актуально в отсутствии изменений в политике оплаты труда, низких доходов населения, и недостаточно благоприятного состояния здоровья нации, вызванного как внешними (</w:t>
      </w:r>
      <w:r w:rsidRPr="00216FBD">
        <w:rPr>
          <w:szCs w:val="28"/>
          <w:lang w:val="en-US"/>
        </w:rPr>
        <w:t>COVID</w:t>
      </w:r>
      <w:r w:rsidRPr="00216FBD">
        <w:rPr>
          <w:szCs w:val="28"/>
        </w:rPr>
        <w:t>-19) так и внутренними факторами (реформа здравоохранения РФ). ФНПР и членские организации обсуждают социально-значимые вопросы и вырабатывают подходы к их решению.</w:t>
      </w:r>
    </w:p>
    <w:p w:rsidR="00D35FE1" w:rsidRPr="00216FBD" w:rsidRDefault="00671E17" w:rsidP="00BB0FAE">
      <w:pPr>
        <w:jc w:val="both"/>
        <w:rPr>
          <w:color w:val="000000" w:themeColor="text1"/>
          <w:szCs w:val="28"/>
        </w:rPr>
      </w:pPr>
      <w:r w:rsidRPr="00216FBD">
        <w:rPr>
          <w:color w:val="212121"/>
          <w:szCs w:val="28"/>
        </w:rPr>
        <w:t>С</w:t>
      </w:r>
      <w:r w:rsidR="00465FFA">
        <w:rPr>
          <w:color w:val="212121"/>
          <w:szCs w:val="28"/>
        </w:rPr>
        <w:t xml:space="preserve"> 1 января</w:t>
      </w:r>
      <w:r w:rsidRPr="00216FBD">
        <w:rPr>
          <w:color w:val="212121"/>
          <w:szCs w:val="28"/>
        </w:rPr>
        <w:t xml:space="preserve"> 2023 года Пенсионный фонд и Фонд социального страхования станут </w:t>
      </w:r>
      <w:r w:rsidR="00465FFA">
        <w:rPr>
          <w:color w:val="212121"/>
          <w:szCs w:val="28"/>
        </w:rPr>
        <w:t>единым Социальным фондом России -</w:t>
      </w:r>
      <w:r w:rsidRPr="00216FBD">
        <w:rPr>
          <w:color w:val="212121"/>
          <w:szCs w:val="28"/>
        </w:rPr>
        <w:t xml:space="preserve"> 14 июля 2022 года принят федеральный закон </w:t>
      </w:r>
      <w:r w:rsidR="00465FFA">
        <w:rPr>
          <w:color w:val="212121"/>
          <w:szCs w:val="28"/>
        </w:rPr>
        <w:t xml:space="preserve">№ </w:t>
      </w:r>
      <w:r w:rsidRPr="00216FBD">
        <w:rPr>
          <w:color w:val="212121"/>
          <w:szCs w:val="28"/>
        </w:rPr>
        <w:t>236-ФЗ</w:t>
      </w:r>
      <w:r w:rsidRPr="00216FBD">
        <w:rPr>
          <w:rStyle w:val="doccaption"/>
          <w:color w:val="000000"/>
          <w:szCs w:val="28"/>
        </w:rPr>
        <w:t xml:space="preserve"> «О Фонде пенсионного и социального страхования Российской Федерации».</w:t>
      </w:r>
      <w:r w:rsidR="00D35FE1" w:rsidRPr="00216FBD">
        <w:rPr>
          <w:color w:val="000000" w:themeColor="text1"/>
          <w:szCs w:val="28"/>
        </w:rPr>
        <w:t xml:space="preserve"> Правительством РФ неоднократно предпринимались попытки изменения статуса внебюджетных социальных фондов (на публично-правовую компанию), а также изменения бюджетного законодательства.</w:t>
      </w:r>
    </w:p>
    <w:p w:rsidR="00D35FE1" w:rsidRPr="00216FBD" w:rsidRDefault="00216FBD" w:rsidP="00BB0FAE">
      <w:pPr>
        <w:ind w:firstLine="567"/>
        <w:jc w:val="both"/>
        <w:rPr>
          <w:szCs w:val="28"/>
        </w:rPr>
      </w:pPr>
      <w:r>
        <w:rPr>
          <w:szCs w:val="28"/>
        </w:rPr>
        <w:t>Принятый</w:t>
      </w:r>
      <w:r w:rsidR="00D35FE1" w:rsidRPr="00216FBD">
        <w:rPr>
          <w:szCs w:val="28"/>
        </w:rPr>
        <w:t xml:space="preserve"> законопроект </w:t>
      </w:r>
      <w:r>
        <w:rPr>
          <w:szCs w:val="28"/>
        </w:rPr>
        <w:t xml:space="preserve">объединенного фонда </w:t>
      </w:r>
      <w:r w:rsidR="00D35FE1" w:rsidRPr="00216FBD">
        <w:rPr>
          <w:szCs w:val="28"/>
        </w:rPr>
        <w:t xml:space="preserve">устанавливает порядок создания новой структуры, виды ее деятельности, систему органов управления и их компетенцию, порядок владения, пользования и распоряжения имуществом входящих в нее фондов, а также основные принципы ее деятельности. </w:t>
      </w:r>
    </w:p>
    <w:p w:rsidR="00D35FE1" w:rsidRPr="00216FBD" w:rsidRDefault="00D35FE1" w:rsidP="00BB0FAE">
      <w:pPr>
        <w:tabs>
          <w:tab w:val="left" w:pos="5954"/>
        </w:tabs>
        <w:ind w:firstLine="851"/>
        <w:jc w:val="both"/>
        <w:rPr>
          <w:szCs w:val="28"/>
        </w:rPr>
      </w:pPr>
      <w:r w:rsidRPr="00216FBD">
        <w:rPr>
          <w:szCs w:val="28"/>
        </w:rPr>
        <w:t>Вместе с основным законопроектом рассматри</w:t>
      </w:r>
      <w:r w:rsidR="00A35AFC">
        <w:rPr>
          <w:szCs w:val="28"/>
        </w:rPr>
        <w:t>вались</w:t>
      </w:r>
      <w:r w:rsidRPr="00216FBD">
        <w:rPr>
          <w:szCs w:val="28"/>
        </w:rPr>
        <w:t xml:space="preserve"> изменения в сопутствующие законы-спутники (Налоговый кодекс РФ, Бюджетный кодекс РФ, Трудовой кодекс РФ и ряд  других законодательных актов РФ). Наиболее масштабные преобразования планируются в налоговом законодательстве.</w:t>
      </w:r>
    </w:p>
    <w:p w:rsidR="00D35FE1" w:rsidRPr="00216FBD" w:rsidRDefault="00D35FE1" w:rsidP="00BB0FAE">
      <w:pPr>
        <w:tabs>
          <w:tab w:val="left" w:pos="5954"/>
        </w:tabs>
        <w:ind w:firstLine="851"/>
        <w:jc w:val="both"/>
        <w:rPr>
          <w:szCs w:val="28"/>
        </w:rPr>
      </w:pPr>
      <w:r w:rsidRPr="00216FBD">
        <w:rPr>
          <w:szCs w:val="28"/>
        </w:rPr>
        <w:t xml:space="preserve"> Разработанный Минфином России проект федерального закона «О внесении изменений в части первую и вторую Налогового кодекса РФ»  предусматривает:</w:t>
      </w:r>
    </w:p>
    <w:p w:rsidR="00D35FE1" w:rsidRPr="00216FBD" w:rsidRDefault="00D35FE1" w:rsidP="00BB0FAE">
      <w:pPr>
        <w:tabs>
          <w:tab w:val="left" w:pos="5954"/>
        </w:tabs>
        <w:ind w:firstLine="851"/>
        <w:jc w:val="both"/>
        <w:rPr>
          <w:szCs w:val="28"/>
        </w:rPr>
      </w:pPr>
      <w:r w:rsidRPr="00216FBD">
        <w:rPr>
          <w:szCs w:val="28"/>
        </w:rPr>
        <w:t xml:space="preserve"> - установление единого совокупного тарифа страховых взносов в пределах базы - 30 % и сверх нее - 15,1%; </w:t>
      </w:r>
    </w:p>
    <w:p w:rsidR="00D35FE1" w:rsidRPr="00216FBD" w:rsidRDefault="00D35FE1" w:rsidP="00BB0FAE">
      <w:pPr>
        <w:tabs>
          <w:tab w:val="left" w:pos="5954"/>
        </w:tabs>
        <w:ind w:firstLine="851"/>
        <w:jc w:val="both"/>
        <w:rPr>
          <w:szCs w:val="28"/>
        </w:rPr>
      </w:pPr>
      <w:r w:rsidRPr="00216FBD">
        <w:rPr>
          <w:szCs w:val="28"/>
        </w:rPr>
        <w:t>- единой предельной и налогооблагаемой базы для исчисления страховых взносов для всех видов социального страхования (за основу берутся суммы по обязательному пенсионному страхованию);</w:t>
      </w:r>
    </w:p>
    <w:p w:rsidR="00D35FE1" w:rsidRPr="00216FBD" w:rsidRDefault="00D35FE1" w:rsidP="00BB0FAE">
      <w:pPr>
        <w:ind w:firstLine="708"/>
        <w:jc w:val="both"/>
        <w:rPr>
          <w:szCs w:val="28"/>
        </w:rPr>
      </w:pPr>
      <w:r w:rsidRPr="00216FBD">
        <w:rPr>
          <w:szCs w:val="28"/>
        </w:rPr>
        <w:t>-  включение в базу по всем видам обязательного страхования выплат в пользу лиц, работающих по договорам гражданско-правового характера (на настоящем этапе данная категория лиц не облагается страховыми взносами на обязательное социальное страхование в случае временной нетрудоспособности и в связи с материнством);</w:t>
      </w:r>
    </w:p>
    <w:p w:rsidR="00D35FE1" w:rsidRPr="00216FBD" w:rsidRDefault="00D35FE1" w:rsidP="00BB0FAE">
      <w:pPr>
        <w:ind w:firstLine="708"/>
        <w:jc w:val="both"/>
        <w:rPr>
          <w:szCs w:val="28"/>
        </w:rPr>
      </w:pPr>
      <w:r w:rsidRPr="00216FBD">
        <w:rPr>
          <w:szCs w:val="28"/>
        </w:rPr>
        <w:t xml:space="preserve">- распределение сумм страховых взносов по видам обязательного социального страхования в единой пропорции: на обязательное пенсионное страхование - 72,5 %, на обязательное социальное страхование на случай временной нетрудоспособности </w:t>
      </w:r>
      <w:r w:rsidRPr="00216FBD">
        <w:rPr>
          <w:szCs w:val="28"/>
        </w:rPr>
        <w:lastRenderedPageBreak/>
        <w:t>и в связи с материнством – 9,1 %, на обязательное медицинское страхование – 18,4 %;</w:t>
      </w:r>
    </w:p>
    <w:p w:rsidR="00D35FE1" w:rsidRPr="00216FBD" w:rsidRDefault="00D35FE1" w:rsidP="00BB0FAE">
      <w:pPr>
        <w:ind w:firstLine="708"/>
        <w:jc w:val="both"/>
        <w:rPr>
          <w:szCs w:val="28"/>
        </w:rPr>
      </w:pPr>
      <w:r w:rsidRPr="00216FBD">
        <w:rPr>
          <w:szCs w:val="28"/>
        </w:rPr>
        <w:t>- объединение всех льготных категорий плательщиков страховых взносов в три группы с пересмотром для части из них условий предоставления льгот: тариф 15% с выплат, превышающих МРОТ</w:t>
      </w:r>
      <w:r w:rsidR="00A35AFC">
        <w:rPr>
          <w:szCs w:val="28"/>
        </w:rPr>
        <w:t xml:space="preserve"> для 1 группы</w:t>
      </w:r>
      <w:r w:rsidRPr="00216FBD">
        <w:rPr>
          <w:szCs w:val="28"/>
        </w:rPr>
        <w:t>; тариф – 7,6% для 2 группы и 0% для 3й.</w:t>
      </w:r>
    </w:p>
    <w:p w:rsidR="00D35FE1" w:rsidRPr="00216FBD" w:rsidRDefault="00D35FE1" w:rsidP="00BB0FAE">
      <w:pPr>
        <w:ind w:firstLine="567"/>
        <w:jc w:val="both"/>
        <w:rPr>
          <w:szCs w:val="28"/>
        </w:rPr>
      </w:pPr>
      <w:r w:rsidRPr="00216FBD">
        <w:rPr>
          <w:szCs w:val="28"/>
        </w:rPr>
        <w:t>На всех площадках обсуждения нововведений законодатели подчеркивали, что реализация планов по созданию нового Фонда с изменением порядка предоставления страховых услуг  и иных социальных выплат гражданам:</w:t>
      </w:r>
    </w:p>
    <w:p w:rsidR="00D35FE1" w:rsidRPr="00216FBD" w:rsidRDefault="00D35FE1" w:rsidP="00BB0FAE">
      <w:pPr>
        <w:pStyle w:val="a8"/>
        <w:spacing w:after="0"/>
        <w:ind w:left="20" w:right="20" w:firstLine="720"/>
        <w:jc w:val="both"/>
        <w:rPr>
          <w:szCs w:val="28"/>
        </w:rPr>
      </w:pPr>
      <w:r w:rsidRPr="00216FBD">
        <w:rPr>
          <w:szCs w:val="28"/>
        </w:rPr>
        <w:t>-  не ухудшит положение застрахованных работников в системе обязательного социального страхования;</w:t>
      </w:r>
    </w:p>
    <w:p w:rsidR="00D35FE1" w:rsidRPr="00216FBD" w:rsidRDefault="00D35FE1" w:rsidP="00BB0FAE">
      <w:pPr>
        <w:pStyle w:val="a8"/>
        <w:spacing w:after="0"/>
        <w:ind w:left="20" w:right="20" w:firstLine="720"/>
        <w:jc w:val="both"/>
        <w:rPr>
          <w:szCs w:val="28"/>
        </w:rPr>
      </w:pPr>
      <w:r w:rsidRPr="00216FBD">
        <w:rPr>
          <w:szCs w:val="28"/>
        </w:rPr>
        <w:t>расширит возможности оказания гражданам мер социальной поддержки при наступлении тяжелой жизненной ситуации в проактивном режиме;</w:t>
      </w:r>
    </w:p>
    <w:p w:rsidR="00D35FE1" w:rsidRPr="00216FBD" w:rsidRDefault="00D35FE1" w:rsidP="00BB0FAE">
      <w:pPr>
        <w:pStyle w:val="a8"/>
        <w:tabs>
          <w:tab w:val="left" w:pos="932"/>
          <w:tab w:val="left" w:pos="1062"/>
        </w:tabs>
        <w:spacing w:after="0"/>
        <w:ind w:right="20" w:firstLine="740"/>
        <w:jc w:val="both"/>
        <w:rPr>
          <w:szCs w:val="28"/>
        </w:rPr>
      </w:pPr>
      <w:r w:rsidRPr="00216FBD">
        <w:rPr>
          <w:szCs w:val="28"/>
        </w:rPr>
        <w:t xml:space="preserve">- позволит организовать единые офисы клиентского обслуживания на базе существующей территориальной сети ПФР и ФСС при сохранении  доступности всех клиентских точек; </w:t>
      </w:r>
    </w:p>
    <w:p w:rsidR="00D35FE1" w:rsidRPr="00216FBD" w:rsidRDefault="00D35FE1" w:rsidP="00BB0FAE">
      <w:pPr>
        <w:tabs>
          <w:tab w:val="left" w:pos="5954"/>
        </w:tabs>
        <w:ind w:firstLine="851"/>
        <w:jc w:val="both"/>
        <w:rPr>
          <w:szCs w:val="28"/>
        </w:rPr>
      </w:pPr>
      <w:r w:rsidRPr="00216FBD">
        <w:rPr>
          <w:szCs w:val="28"/>
        </w:rPr>
        <w:t>- увеличит число получателей и размер выплат по обязательному социальному страхованию в случае временной нетрудоспособности и в связи с материнством.</w:t>
      </w:r>
    </w:p>
    <w:p w:rsidR="00216FBD" w:rsidRDefault="00671E17" w:rsidP="00BB0FAE">
      <w:pPr>
        <w:ind w:firstLine="708"/>
        <w:jc w:val="both"/>
        <w:rPr>
          <w:szCs w:val="28"/>
        </w:rPr>
      </w:pPr>
      <w:r w:rsidRPr="00216FBD">
        <w:rPr>
          <w:szCs w:val="28"/>
        </w:rPr>
        <w:t xml:space="preserve">В федеральном законе «О Фонде пенсионного и социального страхования Российской Федерации» исключены  предложения, изначально согласованные социальными партнерами: из организационно-управленческой структуры исключен Наблюдательный совет как высший коллегиальный орган с паритетным участием сторон социального партнерства; сокращено представительство профсоюзов в Правлении Фонда с 8 до 6 человек. </w:t>
      </w:r>
      <w:r w:rsidR="00216FBD">
        <w:rPr>
          <w:szCs w:val="28"/>
        </w:rPr>
        <w:t>По мнению профсоюзной стороны</w:t>
      </w:r>
      <w:r w:rsidRPr="00216FBD">
        <w:rPr>
          <w:szCs w:val="28"/>
        </w:rPr>
        <w:t xml:space="preserve">, </w:t>
      </w:r>
      <w:r w:rsidR="00216FBD">
        <w:rPr>
          <w:szCs w:val="28"/>
        </w:rPr>
        <w:t xml:space="preserve">это </w:t>
      </w:r>
      <w:r w:rsidRPr="00216FBD">
        <w:rPr>
          <w:szCs w:val="28"/>
        </w:rPr>
        <w:t>дает Правительству РФ возможность провести любое необходимое решение при процедуре голосования.</w:t>
      </w:r>
      <w:r w:rsidR="00901562" w:rsidRPr="00216FBD">
        <w:rPr>
          <w:szCs w:val="28"/>
        </w:rPr>
        <w:t xml:space="preserve"> </w:t>
      </w:r>
    </w:p>
    <w:p w:rsidR="00901562" w:rsidRPr="00216FBD" w:rsidRDefault="00901562" w:rsidP="00BB0FAE">
      <w:pPr>
        <w:ind w:firstLine="708"/>
        <w:jc w:val="both"/>
        <w:rPr>
          <w:szCs w:val="28"/>
        </w:rPr>
      </w:pPr>
      <w:r w:rsidRPr="00216FBD">
        <w:rPr>
          <w:szCs w:val="28"/>
        </w:rPr>
        <w:t>Статус Фонда изменен на государственный внебюджетный фонд, создаваемый при Правительстве РФ и являющийся типом государственного учреждения.</w:t>
      </w:r>
    </w:p>
    <w:p w:rsidR="003C5D4E" w:rsidRPr="00216FBD" w:rsidRDefault="003C5D4E" w:rsidP="00BB0FAE">
      <w:pPr>
        <w:pStyle w:val="a6"/>
        <w:shd w:val="clear" w:color="auto" w:fill="FFFFFF"/>
        <w:spacing w:before="0" w:beforeAutospacing="0" w:after="0" w:afterAutospacing="0"/>
        <w:ind w:firstLine="709"/>
        <w:jc w:val="both"/>
        <w:rPr>
          <w:color w:val="000000" w:themeColor="text1"/>
          <w:sz w:val="28"/>
          <w:szCs w:val="28"/>
        </w:rPr>
      </w:pPr>
      <w:r w:rsidRPr="00216FBD">
        <w:rPr>
          <w:color w:val="000000" w:themeColor="text1"/>
          <w:sz w:val="28"/>
          <w:szCs w:val="28"/>
        </w:rPr>
        <w:t>ФНПР особое внимание акцентировало на вопросах, связанных с формированием бюджета Фонда. Важность задачи установления понятных для социальных партнеров условий формирования бюджета фонда профсоюзы связывают с несовершенством бюджетного законодательства и действующего порядка формирования бюджетов внебюджетных фондов в части поступления страховых взносов на обязательное пенсионное и социальное страхование исходя из прогноза Минэкономразвития России по фонду заработной платы работников и среднемесячной номинальной заработной платы. Одним из проявлений этих проблем является устойчивое снижение относительного размера пенсионных страховых выплат и сокращение численности пенсионеров, получающих страховую пенсию.</w:t>
      </w:r>
    </w:p>
    <w:p w:rsidR="003C5D4E" w:rsidRDefault="003C5D4E" w:rsidP="00BB0FAE">
      <w:pPr>
        <w:jc w:val="both"/>
        <w:rPr>
          <w:szCs w:val="28"/>
        </w:rPr>
      </w:pPr>
      <w:r w:rsidRPr="00216FBD">
        <w:rPr>
          <w:color w:val="000000" w:themeColor="text1"/>
          <w:szCs w:val="28"/>
        </w:rPr>
        <w:t xml:space="preserve">В сентябре 2022 года  на заседании </w:t>
      </w:r>
      <w:r w:rsidRPr="00216FBD">
        <w:rPr>
          <w:rFonts w:eastAsia="Times New Roman"/>
          <w:bCs/>
          <w:szCs w:val="28"/>
          <w:lang w:eastAsia="ru-RU"/>
        </w:rPr>
        <w:t xml:space="preserve">Российской  трехсторонней комиссии по регулированию социально-трудовых отношений </w:t>
      </w:r>
      <w:r w:rsidRPr="00216FBD">
        <w:rPr>
          <w:color w:val="000000" w:themeColor="text1"/>
          <w:szCs w:val="28"/>
        </w:rPr>
        <w:t xml:space="preserve">был рассмотрен бюджет </w:t>
      </w:r>
      <w:r w:rsidRPr="00216FBD">
        <w:rPr>
          <w:szCs w:val="28"/>
        </w:rPr>
        <w:t xml:space="preserve">вновь образованного Фонда пенсионного и социального страхования Российской Федерации на 2023 -2025 годы,  по итогам которого нами были направлены замечания в секретариат РТК. </w:t>
      </w:r>
      <w:r w:rsidR="003F6EA1">
        <w:rPr>
          <w:szCs w:val="28"/>
        </w:rPr>
        <w:t xml:space="preserve">Происходит объединение фондов, а до сих пор не </w:t>
      </w:r>
      <w:r w:rsidR="003F6EA1">
        <w:rPr>
          <w:szCs w:val="28"/>
        </w:rPr>
        <w:lastRenderedPageBreak/>
        <w:t>решен ряд важных вопросов, на которые профсоюзы обращают внимание:</w:t>
      </w:r>
      <w:r w:rsidRPr="00216FBD">
        <w:rPr>
          <w:szCs w:val="28"/>
        </w:rPr>
        <w:t xml:space="preserve"> </w:t>
      </w:r>
      <w:r w:rsidR="003F6EA1">
        <w:rPr>
          <w:szCs w:val="28"/>
        </w:rPr>
        <w:t>выведение</w:t>
      </w:r>
      <w:r w:rsidRPr="00216FBD">
        <w:rPr>
          <w:szCs w:val="28"/>
        </w:rPr>
        <w:t xml:space="preserve"> накопительного компонента из системы обязательного соц</w:t>
      </w:r>
      <w:r w:rsidR="003F6EA1">
        <w:rPr>
          <w:szCs w:val="28"/>
        </w:rPr>
        <w:t>иального страхования, индексация</w:t>
      </w:r>
      <w:r w:rsidRPr="00216FBD">
        <w:rPr>
          <w:szCs w:val="28"/>
        </w:rPr>
        <w:t xml:space="preserve"> пенсий работающим пенсионерам, повышени</w:t>
      </w:r>
      <w:r w:rsidR="003F6EA1">
        <w:rPr>
          <w:szCs w:val="28"/>
        </w:rPr>
        <w:t xml:space="preserve">е </w:t>
      </w:r>
      <w:r w:rsidRPr="00216FBD">
        <w:rPr>
          <w:szCs w:val="28"/>
        </w:rPr>
        <w:t xml:space="preserve"> предельной базы для исчисления страховых взносов.</w:t>
      </w:r>
    </w:p>
    <w:p w:rsidR="00BB0FAE" w:rsidRPr="00216FBD" w:rsidRDefault="00BB0FAE" w:rsidP="00BB0FAE">
      <w:pPr>
        <w:pStyle w:val="5"/>
        <w:shd w:val="clear" w:color="auto" w:fill="auto"/>
        <w:spacing w:line="240" w:lineRule="auto"/>
        <w:ind w:left="60" w:right="20" w:firstLine="709"/>
        <w:rPr>
          <w:rFonts w:ascii="Times New Roman" w:hAnsi="Times New Roman" w:cs="Times New Roman"/>
          <w:sz w:val="28"/>
          <w:szCs w:val="28"/>
        </w:rPr>
      </w:pPr>
      <w:r w:rsidRPr="00216FBD">
        <w:rPr>
          <w:rFonts w:ascii="Times New Roman" w:hAnsi="Times New Roman" w:cs="Times New Roman"/>
          <w:sz w:val="28"/>
          <w:szCs w:val="28"/>
        </w:rPr>
        <w:t xml:space="preserve">Применяемые  в настоящее время методы «неиндексации» и ограничения баллов носят явно дискриминационный характер и не способствуют обеспечению равных прав застрахованных. </w:t>
      </w:r>
    </w:p>
    <w:p w:rsidR="00B31D5F" w:rsidRPr="00216FBD" w:rsidRDefault="00B31D5F" w:rsidP="00BB0FAE">
      <w:pPr>
        <w:ind w:firstLine="708"/>
        <w:jc w:val="both"/>
        <w:rPr>
          <w:szCs w:val="28"/>
        </w:rPr>
      </w:pPr>
      <w:r w:rsidRPr="00216FBD">
        <w:rPr>
          <w:szCs w:val="28"/>
        </w:rPr>
        <w:t>Профсоюзы неоднократно предлагали восстановить индексацию пенсий работающим пенсионерам. Бюджет вновь образованного Фонда не предусматривает этого.  При этом депутаты ГД ФС РФ  поддерживают позицию профсоюзов,  ими были внесены на рассмотрение  ряд законопроектов, предлагающих  восстановить социальную справедливость: вернуться к  механизму ежегодной индексации страховой пенсии работающим пенсионерам  и   при этом сделать перерасчет страховой пенсии по старости работающим пенсионерам, исходя из максимального значения индивидуального пенсионного коэффициента  - десять вместо трех. К сожалению, ни один из законопроектов пока не одобрен, Правительство РФ своих вариантов не предлагало.</w:t>
      </w:r>
    </w:p>
    <w:p w:rsidR="00B31D5F" w:rsidRPr="00B31D5F" w:rsidRDefault="00B31D5F" w:rsidP="00BB0FAE">
      <w:pPr>
        <w:ind w:firstLine="0"/>
        <w:jc w:val="both"/>
        <w:outlineLvl w:val="3"/>
        <w:rPr>
          <w:color w:val="000000" w:themeColor="text1"/>
          <w:szCs w:val="28"/>
        </w:rPr>
      </w:pPr>
      <w:r w:rsidRPr="00216FBD">
        <w:rPr>
          <w:b/>
          <w:color w:val="000000" w:themeColor="text1"/>
          <w:szCs w:val="28"/>
        </w:rPr>
        <w:tab/>
      </w:r>
      <w:r w:rsidRPr="00B31D5F">
        <w:rPr>
          <w:color w:val="000000" w:themeColor="text1"/>
          <w:szCs w:val="28"/>
        </w:rPr>
        <w:t xml:space="preserve">В августе 2022 года в Госдуму ЛДПР внесла законопроект </w:t>
      </w:r>
      <w:r w:rsidRPr="00B31D5F">
        <w:rPr>
          <w:color w:val="000000" w:themeColor="text1"/>
          <w:szCs w:val="28"/>
        </w:rPr>
        <w:br/>
        <w:t xml:space="preserve">о восстановлении индексации пенсий и снятии ограничений по баллам для индивидуального пенсионного коэффициента работающим пенсионерам. ФНПР направила письмо с поддержкой данного законопроекта и рассчитывает на принятие депутатами положительного решения. </w:t>
      </w:r>
    </w:p>
    <w:p w:rsidR="00216FBD" w:rsidRPr="00216FBD" w:rsidRDefault="003C5D4E" w:rsidP="00BB0FAE">
      <w:pPr>
        <w:ind w:firstLine="708"/>
        <w:jc w:val="both"/>
        <w:rPr>
          <w:szCs w:val="28"/>
        </w:rPr>
      </w:pPr>
      <w:r w:rsidRPr="00216FBD">
        <w:rPr>
          <w:szCs w:val="28"/>
        </w:rPr>
        <w:t xml:space="preserve">Предельная база для исчисления страховых взносов на 2023 год  увеличивается на 22,5% по сравнению с 2022 годом с 1 565 тыс. рублей до 1 917 тыс. рублей. </w:t>
      </w:r>
      <w:r w:rsidR="00216FBD" w:rsidRPr="00216FBD">
        <w:rPr>
          <w:szCs w:val="28"/>
        </w:rPr>
        <w:t>Вопрос повышения предельной базы для исчисления страховых взносов при рассмотрении бюджета на 2023-2025 годы  вновь образованного Фонда с социальными партнерами не обсуждался и был вынесен на заседание Российской трехсторонней  комиссии по регулированию социально-трудовых отношений  после одобрения  Правительством Российской Федерации.</w:t>
      </w:r>
    </w:p>
    <w:p w:rsidR="003C5D4E" w:rsidRPr="00216FBD" w:rsidRDefault="003C5D4E" w:rsidP="00BB0FAE">
      <w:pPr>
        <w:jc w:val="both"/>
        <w:rPr>
          <w:szCs w:val="28"/>
        </w:rPr>
      </w:pPr>
      <w:r w:rsidRPr="00216FBD">
        <w:rPr>
          <w:color w:val="0A0A0A"/>
          <w:szCs w:val="28"/>
          <w:shd w:val="clear" w:color="auto" w:fill="FFFFFF"/>
        </w:rPr>
        <w:t>Предельная величина взносов, устанавливаемая на каждый год, оказывает большое влияние на количество заработанных баллов, учитываемых при расчете пенсии. Чем</w:t>
      </w:r>
      <w:r w:rsidRPr="00216FBD">
        <w:rPr>
          <w:szCs w:val="28"/>
        </w:rPr>
        <w:t xml:space="preserve"> больше база, тем меньше баллов можно заработать и тем меньше страховая часть пенсии. За период с 2015 по 2021 год предельная величина базы росла на 13 % в год, страховая часть пенсии всего на 4%, стоимость 1 балла  на 5,5%.</w:t>
      </w:r>
    </w:p>
    <w:p w:rsidR="003C5D4E" w:rsidRPr="00216FBD" w:rsidRDefault="003C5D4E" w:rsidP="00BB0FAE">
      <w:pPr>
        <w:jc w:val="both"/>
        <w:rPr>
          <w:szCs w:val="28"/>
        </w:rPr>
      </w:pPr>
      <w:r w:rsidRPr="00216FBD">
        <w:rPr>
          <w:szCs w:val="28"/>
        </w:rPr>
        <w:t>Профсоюзы выражают опасение, что резкое увеличение предельной величины базы для исчисления страховых взносов не позволит работникам заработать максимально возможное количество баллов (индивидуальных пенсионных коэффициентов), что в дальнейшем снизит страховую часть заработанной пенсии при низкой стоимости 1 балла  и может ухудшить их материальное положение.</w:t>
      </w:r>
    </w:p>
    <w:p w:rsidR="00671E17" w:rsidRPr="00216FBD" w:rsidRDefault="00671E17" w:rsidP="00BB0FAE">
      <w:pPr>
        <w:ind w:firstLine="708"/>
        <w:jc w:val="both"/>
        <w:rPr>
          <w:szCs w:val="28"/>
        </w:rPr>
      </w:pPr>
      <w:r w:rsidRPr="00216FBD">
        <w:rPr>
          <w:szCs w:val="28"/>
        </w:rPr>
        <w:t xml:space="preserve">ФНПР  </w:t>
      </w:r>
      <w:r w:rsidR="00BB0FAE">
        <w:rPr>
          <w:szCs w:val="28"/>
        </w:rPr>
        <w:t>продолжает</w:t>
      </w:r>
      <w:r w:rsidRPr="00216FBD">
        <w:rPr>
          <w:szCs w:val="28"/>
        </w:rPr>
        <w:t xml:space="preserve"> работу с социальными партнерами </w:t>
      </w:r>
      <w:r w:rsidR="00BB0FAE">
        <w:rPr>
          <w:szCs w:val="28"/>
        </w:rPr>
        <w:t>по совершенствованию законодательства</w:t>
      </w:r>
      <w:r w:rsidRPr="00216FBD">
        <w:rPr>
          <w:szCs w:val="28"/>
        </w:rPr>
        <w:t xml:space="preserve"> и в октябре 2022 года направила в Министерство труда и социальный защиты Российской Федерации свои предложения в проект постановления Правительства Российской Федерации «Об утверждении Положения о правлении Фонда пенсионного и социального страхования Российской </w:t>
      </w:r>
      <w:r w:rsidRPr="00216FBD">
        <w:rPr>
          <w:szCs w:val="28"/>
        </w:rPr>
        <w:lastRenderedPageBreak/>
        <w:t xml:space="preserve">Федерации» в которых ещё раз обратила внимание о необходимости формирования резервов по каждому виду обязательного социального страхования и проведения независимой актуарной оценки деятельности Фонда. </w:t>
      </w:r>
    </w:p>
    <w:p w:rsidR="00671E17" w:rsidRPr="00216FBD" w:rsidRDefault="00671E17" w:rsidP="00BB0FAE">
      <w:pPr>
        <w:ind w:firstLine="708"/>
        <w:jc w:val="both"/>
        <w:rPr>
          <w:szCs w:val="28"/>
        </w:rPr>
      </w:pPr>
      <w:r w:rsidRPr="00216FBD">
        <w:rPr>
          <w:szCs w:val="28"/>
        </w:rPr>
        <w:t>ФНПР и далее будет продолжать отслеживать изменения происходящие в новом объединенном Фонде, в том числе по вопросам исключения перекрестного распределения средств социального страхования и недопущения ухудшения социальных прав граждан.</w:t>
      </w:r>
    </w:p>
    <w:p w:rsidR="00BB0FAE" w:rsidRPr="00216FBD" w:rsidRDefault="00BB0FAE" w:rsidP="00BB0FAE">
      <w:pPr>
        <w:pStyle w:val="a6"/>
        <w:shd w:val="clear" w:color="auto" w:fill="FFFFFF"/>
        <w:spacing w:before="0" w:beforeAutospacing="0" w:after="0" w:afterAutospacing="0"/>
        <w:ind w:firstLine="567"/>
        <w:jc w:val="both"/>
        <w:rPr>
          <w:sz w:val="28"/>
          <w:szCs w:val="28"/>
        </w:rPr>
      </w:pPr>
      <w:r w:rsidRPr="00216FBD">
        <w:rPr>
          <w:sz w:val="28"/>
          <w:szCs w:val="28"/>
        </w:rPr>
        <w:t>В текущих экономических условиях социальным партнерам необходимо усилить совместную работу, направленную на обеспечение достойного уровня социальных гарантий наемных работников и членам их семей.</w:t>
      </w:r>
    </w:p>
    <w:p w:rsidR="00BB0FAE" w:rsidRPr="00216FBD" w:rsidRDefault="00BB0FAE" w:rsidP="00BB0FAE">
      <w:pPr>
        <w:pStyle w:val="a6"/>
        <w:shd w:val="clear" w:color="auto" w:fill="FFFFFF"/>
        <w:spacing w:before="0" w:beforeAutospacing="0" w:after="0" w:afterAutospacing="0"/>
        <w:ind w:firstLine="567"/>
        <w:jc w:val="both"/>
        <w:rPr>
          <w:b/>
          <w:sz w:val="28"/>
          <w:szCs w:val="28"/>
        </w:rPr>
      </w:pPr>
      <w:r w:rsidRPr="00216FBD">
        <w:rPr>
          <w:b/>
          <w:sz w:val="28"/>
          <w:szCs w:val="28"/>
        </w:rPr>
        <w:t xml:space="preserve">Членским организациям ФНПР в  связи  </w:t>
      </w:r>
      <w:r>
        <w:rPr>
          <w:b/>
          <w:sz w:val="28"/>
          <w:szCs w:val="28"/>
        </w:rPr>
        <w:t xml:space="preserve">с </w:t>
      </w:r>
      <w:r w:rsidRPr="00216FBD">
        <w:rPr>
          <w:b/>
          <w:sz w:val="28"/>
          <w:szCs w:val="28"/>
        </w:rPr>
        <w:t>принятием Федерального закона «О государственном внебюджетном фонде «Фонд пенсионного и социального страхования РФ»   для защиты  прав наемных работников в области обязательного пенсионного и социального страхования по обеспечению достойного уровня социальных гарантий им и членам их семей рекомендуется</w:t>
      </w:r>
      <w:r w:rsidRPr="00216FBD">
        <w:rPr>
          <w:sz w:val="28"/>
          <w:szCs w:val="28"/>
        </w:rPr>
        <w:t>:</w:t>
      </w:r>
    </w:p>
    <w:p w:rsidR="004C5914" w:rsidRPr="008523FD" w:rsidRDefault="004C5914" w:rsidP="004C5914">
      <w:pPr>
        <w:pStyle w:val="a6"/>
        <w:shd w:val="clear" w:color="auto" w:fill="FFFFFF"/>
        <w:spacing w:before="0" w:beforeAutospacing="0" w:after="0" w:afterAutospacing="0"/>
        <w:ind w:firstLine="567"/>
        <w:jc w:val="both"/>
        <w:rPr>
          <w:sz w:val="28"/>
          <w:szCs w:val="28"/>
        </w:rPr>
      </w:pPr>
      <w:r>
        <w:rPr>
          <w:sz w:val="28"/>
          <w:szCs w:val="28"/>
        </w:rPr>
        <w:t xml:space="preserve">- выявлять проблемные вопросы в области обязательного пенсионного и социального страхования, возникающие при  практическом применении принятого Федерального закона «О </w:t>
      </w:r>
      <w:r w:rsidRPr="0091648C">
        <w:rPr>
          <w:sz w:val="28"/>
          <w:szCs w:val="28"/>
        </w:rPr>
        <w:t>государственном внебюджетном фонде «Фонд пенсионного и социального страхования РФ</w:t>
      </w:r>
      <w:r>
        <w:rPr>
          <w:sz w:val="28"/>
          <w:szCs w:val="28"/>
        </w:rPr>
        <w:t>», анализировать их, информировать ФНПР и государственные органы исполнительной власти</w:t>
      </w:r>
      <w:r w:rsidRPr="008523FD">
        <w:rPr>
          <w:sz w:val="28"/>
          <w:szCs w:val="28"/>
        </w:rPr>
        <w:t>;</w:t>
      </w:r>
    </w:p>
    <w:p w:rsidR="004C5914" w:rsidRDefault="004C5914" w:rsidP="004C5914">
      <w:pPr>
        <w:ind w:firstLine="567"/>
        <w:jc w:val="both"/>
      </w:pPr>
      <w:r>
        <w:t>- рассматривать вопросы уровня социальной защищенности наемных работников на региональных трехсторонних комиссиях по регулированию социально-трудовых отношений</w:t>
      </w:r>
      <w:r w:rsidRPr="00C24103">
        <w:t>;</w:t>
      </w:r>
    </w:p>
    <w:p w:rsidR="004C5914" w:rsidRDefault="004C5914" w:rsidP="004C5914">
      <w:pPr>
        <w:pStyle w:val="a5"/>
        <w:ind w:left="0" w:firstLine="567"/>
        <w:jc w:val="both"/>
      </w:pPr>
      <w:r w:rsidRPr="00A70ACF">
        <w:t>-</w:t>
      </w:r>
      <w:r w:rsidRPr="008A5AE7">
        <w:t> </w:t>
      </w:r>
      <w:r w:rsidRPr="00A70ACF">
        <w:t>усилить работу по</w:t>
      </w:r>
      <w:r>
        <w:t xml:space="preserve"> восстановлению и</w:t>
      </w:r>
      <w:r w:rsidRPr="00A70ACF">
        <w:t xml:space="preserve"> активизации деятельности пенсионных (социальных) комиссий</w:t>
      </w:r>
      <w:r>
        <w:t xml:space="preserve"> и организовать систематическое обучение членов этих комиссий</w:t>
      </w:r>
      <w:r w:rsidRPr="00A70ACF">
        <w:t>;</w:t>
      </w:r>
    </w:p>
    <w:p w:rsidR="004C5914" w:rsidRDefault="004C5914" w:rsidP="004C5914">
      <w:pPr>
        <w:pStyle w:val="a5"/>
        <w:ind w:left="0" w:firstLine="567"/>
        <w:jc w:val="both"/>
      </w:pPr>
      <w:r w:rsidRPr="00A70ACF">
        <w:t>-</w:t>
      </w:r>
      <w:r w:rsidRPr="008A5AE7">
        <w:t> </w:t>
      </w:r>
      <w:r w:rsidRPr="00A70ACF">
        <w:t>проводить информирование работников по вопросам обязательного социального страхования и изменения</w:t>
      </w:r>
      <w:r>
        <w:t>м</w:t>
      </w:r>
      <w:r w:rsidRPr="00A70ACF">
        <w:t xml:space="preserve"> в законодательстве</w:t>
      </w:r>
      <w:r>
        <w:t>, используя информационные уголки и различные интерактивные ресурсы.</w:t>
      </w:r>
    </w:p>
    <w:p w:rsidR="00020BC5" w:rsidRPr="00216FBD" w:rsidRDefault="00020BC5" w:rsidP="00216FBD">
      <w:pPr>
        <w:jc w:val="both"/>
        <w:rPr>
          <w:color w:val="000000" w:themeColor="text1"/>
          <w:szCs w:val="28"/>
        </w:rPr>
      </w:pPr>
    </w:p>
    <w:p w:rsidR="00BB0FAE" w:rsidRDefault="00256CCA" w:rsidP="00BB0FAE">
      <w:pPr>
        <w:ind w:firstLine="0"/>
        <w:jc w:val="right"/>
        <w:rPr>
          <w:szCs w:val="28"/>
        </w:rPr>
      </w:pPr>
      <w:r w:rsidRPr="00216FBD">
        <w:rPr>
          <w:szCs w:val="28"/>
        </w:rPr>
        <w:tab/>
      </w:r>
    </w:p>
    <w:p w:rsidR="00913778" w:rsidRDefault="00913778" w:rsidP="00BB0FAE">
      <w:pPr>
        <w:ind w:firstLine="0"/>
        <w:jc w:val="right"/>
        <w:rPr>
          <w:b/>
          <w:color w:val="000000" w:themeColor="text1"/>
          <w:spacing w:val="2"/>
          <w:szCs w:val="28"/>
        </w:rPr>
      </w:pPr>
    </w:p>
    <w:p w:rsidR="00256CCA" w:rsidRPr="00BB0FAE" w:rsidRDefault="00256CCA" w:rsidP="00BB0FAE">
      <w:pPr>
        <w:ind w:firstLine="0"/>
        <w:jc w:val="right"/>
        <w:rPr>
          <w:i/>
          <w:color w:val="000000" w:themeColor="text1"/>
          <w:spacing w:val="2"/>
          <w:szCs w:val="28"/>
        </w:rPr>
      </w:pPr>
      <w:r w:rsidRPr="00216FBD">
        <w:rPr>
          <w:b/>
          <w:color w:val="000000" w:themeColor="text1"/>
          <w:spacing w:val="2"/>
          <w:szCs w:val="28"/>
        </w:rPr>
        <w:t xml:space="preserve"> </w:t>
      </w:r>
      <w:r w:rsidR="00BB0FAE" w:rsidRPr="00BB0FAE">
        <w:rPr>
          <w:i/>
          <w:color w:val="000000" w:themeColor="text1"/>
          <w:spacing w:val="2"/>
          <w:szCs w:val="28"/>
        </w:rPr>
        <w:t>Департамент социального развития Аппарата ФНПР</w:t>
      </w:r>
    </w:p>
    <w:sectPr w:rsidR="00256CCA" w:rsidRPr="00BB0FAE" w:rsidSect="00BD6DC7">
      <w:headerReference w:type="default" r:id="rId6"/>
      <w:pgSz w:w="11906" w:h="16838"/>
      <w:pgMar w:top="1134" w:right="851" w:bottom="851" w:left="85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BE" w:rsidRDefault="004453BE" w:rsidP="007D46DB">
      <w:r>
        <w:separator/>
      </w:r>
    </w:p>
  </w:endnote>
  <w:endnote w:type="continuationSeparator" w:id="0">
    <w:p w:rsidR="004453BE" w:rsidRDefault="004453BE" w:rsidP="007D46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BE" w:rsidRDefault="004453BE" w:rsidP="007D46DB">
      <w:r>
        <w:separator/>
      </w:r>
    </w:p>
  </w:footnote>
  <w:footnote w:type="continuationSeparator" w:id="0">
    <w:p w:rsidR="004453BE" w:rsidRDefault="004453BE" w:rsidP="007D4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3A" w:rsidRDefault="0080098B">
    <w:pPr>
      <w:pStyle w:val="a3"/>
      <w:jc w:val="center"/>
    </w:pPr>
    <w:r>
      <w:fldChar w:fldCharType="begin"/>
    </w:r>
    <w:r w:rsidR="00090E48">
      <w:instrText xml:space="preserve"> PAGE   \* MERGEFORMAT </w:instrText>
    </w:r>
    <w:r>
      <w:fldChar w:fldCharType="separate"/>
    </w:r>
    <w:r w:rsidR="00025918">
      <w:rPr>
        <w:noProof/>
      </w:rPr>
      <w:t>4</w:t>
    </w:r>
    <w:r>
      <w:fldChar w:fldCharType="end"/>
    </w:r>
  </w:p>
  <w:p w:rsidR="00C4163A" w:rsidRDefault="004453B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6CCA"/>
    <w:rsid w:val="00020BC5"/>
    <w:rsid w:val="00025918"/>
    <w:rsid w:val="000427D7"/>
    <w:rsid w:val="00056E9D"/>
    <w:rsid w:val="00067FF1"/>
    <w:rsid w:val="00090E48"/>
    <w:rsid w:val="000A1947"/>
    <w:rsid w:val="00216FBD"/>
    <w:rsid w:val="00256CCA"/>
    <w:rsid w:val="00262B77"/>
    <w:rsid w:val="00277AAE"/>
    <w:rsid w:val="00281A68"/>
    <w:rsid w:val="002C163F"/>
    <w:rsid w:val="002E18BA"/>
    <w:rsid w:val="002E6735"/>
    <w:rsid w:val="00320F33"/>
    <w:rsid w:val="00336DDB"/>
    <w:rsid w:val="00340E2E"/>
    <w:rsid w:val="00370885"/>
    <w:rsid w:val="003C5D4E"/>
    <w:rsid w:val="003F6EA1"/>
    <w:rsid w:val="004453BE"/>
    <w:rsid w:val="00465FFA"/>
    <w:rsid w:val="004C5914"/>
    <w:rsid w:val="00576BAF"/>
    <w:rsid w:val="006248F9"/>
    <w:rsid w:val="00671E17"/>
    <w:rsid w:val="00716543"/>
    <w:rsid w:val="00721D00"/>
    <w:rsid w:val="00776023"/>
    <w:rsid w:val="00791671"/>
    <w:rsid w:val="007D46DB"/>
    <w:rsid w:val="0080098B"/>
    <w:rsid w:val="0087001F"/>
    <w:rsid w:val="008766CE"/>
    <w:rsid w:val="00884CA9"/>
    <w:rsid w:val="00901562"/>
    <w:rsid w:val="00913778"/>
    <w:rsid w:val="00973028"/>
    <w:rsid w:val="00983F39"/>
    <w:rsid w:val="00A141DA"/>
    <w:rsid w:val="00A15B84"/>
    <w:rsid w:val="00A35AFC"/>
    <w:rsid w:val="00A86C98"/>
    <w:rsid w:val="00AC31D5"/>
    <w:rsid w:val="00AF3997"/>
    <w:rsid w:val="00B31D5F"/>
    <w:rsid w:val="00B87E57"/>
    <w:rsid w:val="00BB0FAE"/>
    <w:rsid w:val="00BD6DC7"/>
    <w:rsid w:val="00BF1E71"/>
    <w:rsid w:val="00BF5B16"/>
    <w:rsid w:val="00C415CC"/>
    <w:rsid w:val="00C670FE"/>
    <w:rsid w:val="00D35FE1"/>
    <w:rsid w:val="00DB1352"/>
    <w:rsid w:val="00DE23BA"/>
    <w:rsid w:val="00E33EEE"/>
    <w:rsid w:val="00E439F6"/>
    <w:rsid w:val="00EE04F2"/>
    <w:rsid w:val="00F8532F"/>
    <w:rsid w:val="00F91727"/>
    <w:rsid w:val="00FF6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A"/>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6CCA"/>
    <w:pPr>
      <w:tabs>
        <w:tab w:val="center" w:pos="4677"/>
        <w:tab w:val="right" w:pos="9355"/>
      </w:tabs>
    </w:pPr>
  </w:style>
  <w:style w:type="character" w:customStyle="1" w:styleId="a4">
    <w:name w:val="Верхний колонтитул Знак"/>
    <w:basedOn w:val="a0"/>
    <w:link w:val="a3"/>
    <w:uiPriority w:val="99"/>
    <w:rsid w:val="00256CCA"/>
    <w:rPr>
      <w:rFonts w:ascii="Times New Roman" w:eastAsia="Calibri" w:hAnsi="Times New Roman" w:cs="Times New Roman"/>
      <w:sz w:val="28"/>
    </w:rPr>
  </w:style>
  <w:style w:type="paragraph" w:customStyle="1" w:styleId="ConsPlusNormal">
    <w:name w:val="ConsPlusNormal"/>
    <w:uiPriority w:val="99"/>
    <w:rsid w:val="00256C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256CCA"/>
    <w:pPr>
      <w:ind w:left="720"/>
      <w:contextualSpacing/>
    </w:pPr>
    <w:rPr>
      <w:szCs w:val="28"/>
    </w:rPr>
  </w:style>
  <w:style w:type="paragraph" w:styleId="a6">
    <w:name w:val="Normal (Web)"/>
    <w:basedOn w:val="a"/>
    <w:uiPriority w:val="99"/>
    <w:rsid w:val="00256CCA"/>
    <w:pPr>
      <w:spacing w:before="100" w:beforeAutospacing="1" w:after="100" w:afterAutospacing="1"/>
      <w:ind w:firstLine="0"/>
    </w:pPr>
    <w:rPr>
      <w:rFonts w:eastAsia="Times New Roman"/>
      <w:sz w:val="24"/>
      <w:szCs w:val="24"/>
      <w:lang w:eastAsia="ru-RU"/>
    </w:rPr>
  </w:style>
  <w:style w:type="character" w:customStyle="1" w:styleId="a7">
    <w:name w:val="Основной текст_"/>
    <w:basedOn w:val="a0"/>
    <w:link w:val="5"/>
    <w:rsid w:val="00256CCA"/>
    <w:rPr>
      <w:rFonts w:eastAsia="Times New Roman"/>
      <w:shd w:val="clear" w:color="auto" w:fill="FFFFFF"/>
    </w:rPr>
  </w:style>
  <w:style w:type="paragraph" w:customStyle="1" w:styleId="5">
    <w:name w:val="Основной текст5"/>
    <w:basedOn w:val="a"/>
    <w:link w:val="a7"/>
    <w:rsid w:val="00256CCA"/>
    <w:pPr>
      <w:shd w:val="clear" w:color="auto" w:fill="FFFFFF"/>
      <w:spacing w:line="274" w:lineRule="exact"/>
      <w:ind w:firstLine="0"/>
      <w:jc w:val="both"/>
    </w:pPr>
    <w:rPr>
      <w:rFonts w:asciiTheme="minorHAnsi" w:eastAsia="Times New Roman" w:hAnsiTheme="minorHAnsi" w:cstheme="minorBidi"/>
      <w:sz w:val="22"/>
    </w:rPr>
  </w:style>
  <w:style w:type="character" w:customStyle="1" w:styleId="3">
    <w:name w:val="Основной текст3"/>
    <w:basedOn w:val="a7"/>
    <w:rsid w:val="00256CCA"/>
  </w:style>
  <w:style w:type="paragraph" w:styleId="30">
    <w:name w:val="Body Text Indent 3"/>
    <w:basedOn w:val="a"/>
    <w:link w:val="31"/>
    <w:rsid w:val="00256CCA"/>
    <w:pPr>
      <w:spacing w:after="120"/>
      <w:ind w:left="283" w:firstLine="0"/>
    </w:pPr>
    <w:rPr>
      <w:sz w:val="16"/>
      <w:szCs w:val="16"/>
      <w:lang w:eastAsia="ru-RU"/>
    </w:rPr>
  </w:style>
  <w:style w:type="character" w:customStyle="1" w:styleId="31">
    <w:name w:val="Основной текст с отступом 3 Знак"/>
    <w:basedOn w:val="a0"/>
    <w:link w:val="30"/>
    <w:rsid w:val="00256CCA"/>
    <w:rPr>
      <w:rFonts w:ascii="Times New Roman" w:eastAsia="Calibri" w:hAnsi="Times New Roman" w:cs="Times New Roman"/>
      <w:sz w:val="16"/>
      <w:szCs w:val="16"/>
      <w:lang w:eastAsia="ru-RU"/>
    </w:rPr>
  </w:style>
  <w:style w:type="paragraph" w:styleId="a8">
    <w:name w:val="Body Text"/>
    <w:basedOn w:val="a"/>
    <w:link w:val="a9"/>
    <w:uiPriority w:val="99"/>
    <w:semiHidden/>
    <w:unhideWhenUsed/>
    <w:rsid w:val="00256CCA"/>
    <w:pPr>
      <w:spacing w:after="120"/>
    </w:pPr>
  </w:style>
  <w:style w:type="character" w:customStyle="1" w:styleId="a9">
    <w:name w:val="Основной текст Знак"/>
    <w:basedOn w:val="a0"/>
    <w:link w:val="a8"/>
    <w:uiPriority w:val="99"/>
    <w:semiHidden/>
    <w:rsid w:val="00256CCA"/>
    <w:rPr>
      <w:rFonts w:ascii="Times New Roman" w:eastAsia="Calibri" w:hAnsi="Times New Roman" w:cs="Times New Roman"/>
      <w:sz w:val="28"/>
    </w:rPr>
  </w:style>
  <w:style w:type="paragraph" w:customStyle="1" w:styleId="2">
    <w:name w:val="Абзац списка2"/>
    <w:basedOn w:val="a"/>
    <w:rsid w:val="00256CCA"/>
    <w:pPr>
      <w:spacing w:after="120"/>
      <w:ind w:left="720" w:firstLine="0"/>
      <w:contextualSpacing/>
      <w:jc w:val="both"/>
    </w:pPr>
    <w:rPr>
      <w:rFonts w:ascii="Calibri" w:hAnsi="Calibri"/>
      <w:bCs/>
      <w:color w:val="000000"/>
      <w:sz w:val="22"/>
    </w:rPr>
  </w:style>
  <w:style w:type="paragraph" w:customStyle="1" w:styleId="1">
    <w:name w:val="Обычный1"/>
    <w:basedOn w:val="a"/>
    <w:rsid w:val="00256CCA"/>
    <w:rPr>
      <w:rFonts w:ascii="Calibri" w:eastAsia="Times New Roman" w:hAnsi="Calibri"/>
      <w:sz w:val="22"/>
      <w:szCs w:val="20"/>
      <w:lang w:eastAsia="ru-RU"/>
    </w:rPr>
  </w:style>
  <w:style w:type="paragraph" w:styleId="aa">
    <w:name w:val="Title"/>
    <w:basedOn w:val="a"/>
    <w:link w:val="ab"/>
    <w:qFormat/>
    <w:rsid w:val="00256CCA"/>
    <w:pPr>
      <w:widowControl w:val="0"/>
      <w:shd w:val="clear" w:color="auto" w:fill="FFFFFF"/>
      <w:autoSpaceDE w:val="0"/>
      <w:autoSpaceDN w:val="0"/>
      <w:adjustRightInd w:val="0"/>
      <w:spacing w:line="322" w:lineRule="exact"/>
      <w:ind w:left="5" w:hanging="5"/>
      <w:jc w:val="center"/>
    </w:pPr>
    <w:rPr>
      <w:rFonts w:eastAsia="Times New Roman"/>
      <w:b/>
      <w:bCs/>
      <w:color w:val="000000"/>
      <w:spacing w:val="-6"/>
      <w:sz w:val="20"/>
      <w:szCs w:val="29"/>
    </w:rPr>
  </w:style>
  <w:style w:type="character" w:customStyle="1" w:styleId="ab">
    <w:name w:val="Название Знак"/>
    <w:basedOn w:val="a0"/>
    <w:link w:val="aa"/>
    <w:rsid w:val="00256CCA"/>
    <w:rPr>
      <w:rFonts w:ascii="Times New Roman" w:eastAsia="Times New Roman" w:hAnsi="Times New Roman" w:cs="Times New Roman"/>
      <w:b/>
      <w:bCs/>
      <w:color w:val="000000"/>
      <w:spacing w:val="-6"/>
      <w:sz w:val="20"/>
      <w:szCs w:val="29"/>
      <w:shd w:val="clear" w:color="auto" w:fill="FFFFFF"/>
    </w:rPr>
  </w:style>
  <w:style w:type="character" w:customStyle="1" w:styleId="doccaption">
    <w:name w:val="doccaption"/>
    <w:basedOn w:val="a0"/>
    <w:rsid w:val="00671E17"/>
  </w:style>
  <w:style w:type="paragraph" w:styleId="ac">
    <w:name w:val="footer"/>
    <w:basedOn w:val="a"/>
    <w:link w:val="ad"/>
    <w:uiPriority w:val="99"/>
    <w:semiHidden/>
    <w:unhideWhenUsed/>
    <w:rsid w:val="003C5D4E"/>
    <w:pPr>
      <w:tabs>
        <w:tab w:val="center" w:pos="4677"/>
        <w:tab w:val="right" w:pos="9355"/>
      </w:tabs>
    </w:pPr>
  </w:style>
  <w:style w:type="character" w:customStyle="1" w:styleId="ad">
    <w:name w:val="Нижний колонтитул Знак"/>
    <w:basedOn w:val="a0"/>
    <w:link w:val="ac"/>
    <w:uiPriority w:val="99"/>
    <w:semiHidden/>
    <w:rsid w:val="003C5D4E"/>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N.A.Izmailova</dc:creator>
  <cp:lastModifiedBy>E.Y.Mikhailova</cp:lastModifiedBy>
  <cp:revision>2</cp:revision>
  <cp:lastPrinted>2022-11-08T13:27:00Z</cp:lastPrinted>
  <dcterms:created xsi:type="dcterms:W3CDTF">2022-11-25T07:15:00Z</dcterms:created>
  <dcterms:modified xsi:type="dcterms:W3CDTF">2022-11-25T07:15:00Z</dcterms:modified>
</cp:coreProperties>
</file>