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708"/>
        <w:jc w:val="center"/>
        <w:spacing w:lineRule="auto" w:line="276"/>
        <w:rPr>
          <w:i/>
        </w:rPr>
      </w:pPr>
      <w:r>
        <w:rPr>
          <w:i/>
        </w:rPr>
        <w:t xml:space="preserve">Приложение № 1</w:t>
      </w:r>
      <w:r/>
    </w:p>
    <w:p>
      <w:pPr>
        <w:ind w:left="4956" w:firstLine="708"/>
        <w:jc w:val="center"/>
        <w:spacing w:lineRule="auto" w:line="276"/>
        <w:rPr>
          <w:i/>
        </w:rPr>
      </w:pPr>
      <w:r>
        <w:rPr>
          <w:i/>
        </w:rPr>
        <w:t xml:space="preserve">к постановлению Исполкома ФНПР</w:t>
      </w:r>
      <w:r/>
    </w:p>
    <w:p>
      <w:pPr>
        <w:ind w:left="4956" w:firstLine="708"/>
        <w:jc w:val="center"/>
        <w:spacing w:lineRule="auto" w:line="276"/>
        <w:rPr>
          <w:i/>
        </w:rPr>
      </w:pPr>
      <w:r>
        <w:rPr>
          <w:i/>
        </w:rPr>
        <w:t xml:space="preserve">от 09.02.2022 №</w:t>
      </w:r>
      <w:r>
        <w:rPr>
          <w:i/>
        </w:rPr>
        <w:t xml:space="preserve"> 2-4</w:t>
      </w:r>
      <w:r/>
    </w:p>
    <w:p>
      <w:pPr>
        <w:jc w:val="center"/>
        <w:spacing w:lineRule="auto" w:line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spacing w:lineRule="auto" w:line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</w:t>
      </w:r>
      <w:r>
        <w:rPr>
          <w:b/>
          <w:bCs/>
          <w:sz w:val="28"/>
          <w:szCs w:val="28"/>
        </w:rPr>
        <w:t xml:space="preserve"> о работе с молодёжью в ФНПР </w:t>
      </w:r>
      <w:r/>
    </w:p>
    <w:p>
      <w:pPr>
        <w:jc w:val="center"/>
        <w:spacing w:lineRule="auto" w:line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её членских </w:t>
      </w:r>
      <w:r>
        <w:rPr>
          <w:b/>
          <w:bCs/>
          <w:sz w:val="28"/>
          <w:szCs w:val="28"/>
        </w:rPr>
        <w:t xml:space="preserve">организациях</w:t>
      </w:r>
      <w:r>
        <w:rPr>
          <w:b/>
          <w:bCs/>
          <w:sz w:val="28"/>
          <w:szCs w:val="28"/>
        </w:rPr>
        <w:t xml:space="preserve"> в 2021 году</w:t>
      </w:r>
      <w:r/>
    </w:p>
    <w:p>
      <w:pPr>
        <w:ind w:firstLine="708"/>
        <w:jc w:val="both"/>
        <w:spacing w:lineRule="auto" w:line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both"/>
        <w:spacing w:lineRule="auto" w:line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Нормативное обеспечение.</w:t>
      </w:r>
      <w:r/>
    </w:p>
    <w:p>
      <w:pPr>
        <w:ind w:firstLine="708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После принятия Федерального закона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 декабря 2020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489-ФЗ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«О молодёжной политике в Российской Федерации» Исполнительный комитет ФНПР  (постановление от 03.03.2021 № 3-11) признал действующую редакцию Концепции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жной политики ФНПР (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Генеральным Советом ФНПР от 02.10.2002 № 3-4), требующей доработки в связи с изменением законодательной базы. </w:t>
      </w:r>
      <w:r/>
    </w:p>
    <w:p>
      <w:pPr>
        <w:pStyle w:val="876"/>
        <w:ind w:firstLine="709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Новая редакция концепции уточнила цели, принципы, основные направления и формы реализации молодёжной политики в ФНПР и членских организациях ФНПР, определила </w:t>
      </w:r>
      <w:r>
        <w:rPr>
          <w:sz w:val="28"/>
          <w:szCs w:val="28"/>
          <w:lang w:eastAsia="ru-RU"/>
        </w:rPr>
        <w:t xml:space="preserve">основные понятия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Целью молодёжной политики ФНПР должно стать развитие профсоюзного движения, основанное </w:t>
      </w:r>
      <w:r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на вступлении молодёжи в члены профсоюзов, мотивации членства среди молодёжи, защите их социально-экономических  прав и интересов и вовлечении молодёжи в активную профсоюзную работу на всех уровнях профсоюзной структуры.</w:t>
      </w:r>
      <w:r>
        <w:rPr>
          <w:sz w:val="28"/>
          <w:szCs w:val="28"/>
        </w:rPr>
        <w:t xml:space="preserve"> Финансирование </w:t>
      </w:r>
      <w:r>
        <w:rPr>
          <w:sz w:val="28"/>
          <w:szCs w:val="28"/>
        </w:rPr>
        <w:t xml:space="preserve">молодежной политики на всех уровнях реализации должно составлять не менее 5% от профсоюзного бюджета и должно быть направлено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информирование, обучение и агитацию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предоставление</w:t>
      </w:r>
      <w:r>
        <w:rPr>
          <w:sz w:val="28"/>
          <w:szCs w:val="28"/>
        </w:rPr>
        <w:t xml:space="preserve"> грантов на реализацию конкретных проектов молодых активистов, которые бы приносили профсоюзной структуре выгоду и пользу. К критериям оценки эффективности этой работы в обновленной концепции рекомендуется относить  положительную динамику численности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в структуре профсоюзного членства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профсоюзного актива, увеличение количества молодых людей, которые обучаются и реализуют свои проекты в членских организациях.</w:t>
      </w:r>
      <w:r/>
    </w:p>
    <w:p>
      <w:pPr>
        <w:pStyle w:val="876"/>
        <w:ind w:firstLine="709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Членским организациям поручено привести свои нормативные документы по работе с молодёжью в соответствие с Концепцией молодежной политики ФНПР.</w:t>
      </w:r>
      <w:r/>
    </w:p>
    <w:p>
      <w:pPr>
        <w:ind w:firstLine="709"/>
        <w:jc w:val="both"/>
        <w:spacing w:lineRule="exact" w:line="240"/>
        <w:rPr>
          <w:b/>
          <w:bCs/>
          <w:sz w:val="28"/>
          <w:szCs w:val="28"/>
          <w:shd w:val="clear" w:fill="FFFFFF" w:color="auto"/>
        </w:rPr>
      </w:pPr>
      <w:r>
        <w:rPr>
          <w:b/>
          <w:bCs/>
          <w:sz w:val="28"/>
          <w:szCs w:val="28"/>
          <w:shd w:val="clear" w:fill="FFFFFF" w:color="auto"/>
        </w:rPr>
      </w:r>
      <w:r/>
    </w:p>
    <w:p>
      <w:pPr>
        <w:ind w:firstLine="708"/>
        <w:jc w:val="both"/>
        <w:spacing w:lineRule="auto" w:line="276"/>
        <w:rPr>
          <w:b/>
          <w:bCs/>
          <w:sz w:val="28"/>
          <w:szCs w:val="28"/>
          <w:shd w:val="clear" w:fill="FFFFFF" w:color="auto"/>
        </w:rPr>
      </w:pPr>
      <w:r>
        <w:rPr>
          <w:b/>
          <w:bCs/>
          <w:sz w:val="28"/>
          <w:szCs w:val="28"/>
          <w:shd w:val="clear" w:fill="FFFFFF" w:color="auto"/>
        </w:rPr>
        <w:t xml:space="preserve">Социология.</w:t>
      </w:r>
      <w:r/>
    </w:p>
    <w:p>
      <w:pPr>
        <w:ind w:firstLine="708"/>
        <w:jc w:val="both"/>
        <w:spacing w:lineRule="auto" w:line="276"/>
        <w:rPr>
          <w:sz w:val="28"/>
          <w:szCs w:val="28"/>
          <w:shd w:val="clear" w:fill="FFFFFF" w:color="auto"/>
        </w:rPr>
      </w:pPr>
      <w:r>
        <w:rPr>
          <w:sz w:val="28"/>
          <w:szCs w:val="28"/>
          <w:shd w:val="clear" w:fill="FFFFFF" w:color="auto"/>
        </w:rPr>
        <w:t xml:space="preserve">В рамках Года организац</w:t>
      </w:r>
      <w:r>
        <w:rPr>
          <w:sz w:val="28"/>
          <w:szCs w:val="28"/>
          <w:shd w:val="clear" w:fill="FFFFFF" w:color="auto"/>
        </w:rPr>
        <w:t xml:space="preserve">ионного и кадрового укрепления </w:t>
      </w:r>
      <w:r>
        <w:rPr>
          <w:sz w:val="28"/>
          <w:szCs w:val="28"/>
          <w:shd w:val="clear" w:fill="FFFFFF" w:color="auto"/>
        </w:rPr>
        <w:t xml:space="preserve">Молод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жный совет Ф</w:t>
      </w:r>
      <w:r>
        <w:rPr>
          <w:sz w:val="28"/>
          <w:szCs w:val="28"/>
          <w:shd w:val="clear" w:fill="FFFFFF" w:color="auto"/>
        </w:rPr>
        <w:t xml:space="preserve">НПР</w:t>
      </w:r>
      <w:r>
        <w:rPr>
          <w:sz w:val="28"/>
          <w:szCs w:val="28"/>
          <w:shd w:val="clear" w:fill="FFFFFF" w:color="auto"/>
        </w:rPr>
        <w:t xml:space="preserve"> совместно с Департаментом Аппарата ФНПР по связям </w:t>
      </w:r>
      <w:r>
        <w:rPr>
          <w:sz w:val="28"/>
          <w:szCs w:val="28"/>
          <w:shd w:val="clear" w:fill="FFFFFF" w:color="auto"/>
        </w:rPr>
        <w:t xml:space="preserve">                       </w:t>
      </w:r>
      <w:r>
        <w:rPr>
          <w:sz w:val="28"/>
          <w:szCs w:val="28"/>
          <w:shd w:val="clear" w:fill="FFFFFF" w:color="auto"/>
        </w:rPr>
        <w:t xml:space="preserve">с общественностью, молод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жной политике и развитию профсоюзного движения провели масштабное социологическое исследование мотивации профсоюзного членства среди молодёжи. Основой статистических данных исследования стали </w:t>
      </w:r>
      <w:r>
        <w:rPr>
          <w:sz w:val="28"/>
          <w:szCs w:val="28"/>
          <w:shd w:val="clear" w:fill="FFFFFF" w:color="auto"/>
        </w:rPr>
        <w:t xml:space="preserve">анкеты молодых людей, рождённых начиная с 2002 года. Молодёжным советом ФНПР была проведена значительная часть исследования: собраны </w:t>
      </w:r>
      <w:r>
        <w:rPr>
          <w:sz w:val="28"/>
          <w:szCs w:val="28"/>
          <w:shd w:val="clear" w:fill="FFFFFF" w:color="auto"/>
        </w:rPr>
        <w:t xml:space="preserve">                      </w:t>
      </w:r>
      <w:r>
        <w:rPr>
          <w:sz w:val="28"/>
          <w:szCs w:val="28"/>
          <w:shd w:val="clear" w:fill="FFFFFF" w:color="auto"/>
        </w:rPr>
        <w:t xml:space="preserve">200 «эталонных» анкет, данные которых позволили отбраковать недостоверные результаты. Всего было собрано более 16 тысяч анкет из организаций, где есть ППО, входящие в организационную структуру членских организаций ФНПР, </w:t>
      </w:r>
      <w:r>
        <w:rPr>
          <w:sz w:val="28"/>
          <w:szCs w:val="28"/>
          <w:shd w:val="clear" w:fill="FFFFFF" w:color="auto"/>
        </w:rPr>
        <w:t xml:space="preserve">        </w:t>
      </w:r>
      <w:r>
        <w:rPr>
          <w:sz w:val="28"/>
          <w:szCs w:val="28"/>
          <w:shd w:val="clear" w:fill="FFFFFF" w:color="auto"/>
        </w:rPr>
        <w:t xml:space="preserve">и около 2 тыс</w:t>
      </w:r>
      <w:r>
        <w:rPr>
          <w:sz w:val="28"/>
          <w:szCs w:val="28"/>
          <w:shd w:val="clear" w:fill="FFFFFF" w:color="auto"/>
        </w:rPr>
        <w:t xml:space="preserve">яч анкет молодёжи, работающей в организациях, где нет профсоюзов. На основании полученных данных в 2022 году для профорганизаций будут сформированы рекомендации по работе с молодёжью. Презентация результатов исследования запланирована на апрель 2022 года. </w:t>
      </w:r>
      <w:r/>
    </w:p>
    <w:p>
      <w:pPr>
        <w:ind w:firstLine="709"/>
        <w:jc w:val="both"/>
        <w:spacing w:lineRule="exact" w:line="240"/>
        <w:rPr>
          <w:b/>
          <w:bCs/>
          <w:sz w:val="28"/>
          <w:szCs w:val="28"/>
          <w:shd w:val="clear" w:fill="FFFFFF" w:color="auto"/>
        </w:rPr>
      </w:pPr>
      <w:r/>
      <w:bookmarkStart w:id="0" w:name="_Hlk94568021"/>
      <w:r/>
      <w:r/>
    </w:p>
    <w:p>
      <w:pPr>
        <w:ind w:firstLine="708"/>
        <w:jc w:val="both"/>
        <w:spacing w:lineRule="auto" w:line="276"/>
        <w:rPr>
          <w:b/>
          <w:bCs/>
          <w:sz w:val="28"/>
          <w:szCs w:val="28"/>
          <w:shd w:val="clear" w:fill="FFFFFF" w:color="auto"/>
        </w:rPr>
      </w:pPr>
      <w:r>
        <w:rPr>
          <w:b/>
          <w:bCs/>
          <w:sz w:val="28"/>
          <w:szCs w:val="28"/>
          <w:shd w:val="clear" w:fill="FFFFFF" w:color="auto"/>
        </w:rPr>
        <w:t xml:space="preserve">«Стратегический резерв 2021»</w:t>
      </w:r>
      <w:r>
        <w:rPr>
          <w:b/>
          <w:bCs/>
          <w:sz w:val="28"/>
          <w:szCs w:val="28"/>
          <w:shd w:val="clear" w:fill="FFFFFF" w:color="auto"/>
        </w:rPr>
        <w:t xml:space="preserve">.</w:t>
      </w:r>
      <w:r/>
    </w:p>
    <w:p>
      <w:pPr>
        <w:ind w:firstLine="708"/>
        <w:jc w:val="both"/>
        <w:spacing w:lineRule="auto" w:line="276"/>
        <w:rPr>
          <w:sz w:val="28"/>
          <w:szCs w:val="28"/>
          <w:shd w:val="clear" w:fill="FFFFFF" w:color="auto"/>
        </w:rPr>
      </w:pPr>
      <w:r>
        <w:rPr>
          <w:sz w:val="28"/>
          <w:szCs w:val="28"/>
          <w:shd w:val="clear" w:fill="FFFFFF" w:color="auto"/>
        </w:rPr>
        <w:t xml:space="preserve">В соответствии с постановлением Исполкома ФНПР от 03.03.2021  № 3-12 «О подготовке и проведении всероссийских молодёжных мероприятий» </w:t>
      </w:r>
      <w:r>
        <w:rPr>
          <w:bCs/>
          <w:sz w:val="28"/>
          <w:szCs w:val="28"/>
          <w:shd w:val="clear" w:fill="FFFFFF" w:color="auto"/>
        </w:rPr>
        <w:t xml:space="preserve">было </w:t>
      </w:r>
      <w:r>
        <w:rPr>
          <w:sz w:val="28"/>
          <w:szCs w:val="28"/>
          <w:shd w:val="clear" w:fill="FFFFFF" w:color="auto"/>
        </w:rPr>
        <w:t xml:space="preserve">утверждено Положение </w:t>
      </w:r>
      <w:r>
        <w:rPr>
          <w:bCs/>
          <w:sz w:val="28"/>
          <w:szCs w:val="28"/>
          <w:shd w:val="clear" w:fill="FFFFFF" w:color="auto"/>
        </w:rPr>
        <w:t xml:space="preserve">о </w:t>
      </w:r>
      <w:r>
        <w:rPr>
          <w:sz w:val="28"/>
          <w:szCs w:val="28"/>
          <w:shd w:val="clear" w:fill="FFFFFF" w:color="auto"/>
        </w:rPr>
        <w:t xml:space="preserve">Всероссийской молодёжной профсоюзной программе ФНПР «Стратегический резерв 2021». Основной целью программы, как и прежде,  осталось привлечен</w:t>
      </w:r>
      <w:r>
        <w:rPr>
          <w:sz w:val="28"/>
          <w:szCs w:val="28"/>
          <w:shd w:val="clear" w:fill="FFFFFF" w:color="auto"/>
        </w:rPr>
        <w:t xml:space="preserve">ие талантливых активистов и модернизация, укрепление профсоюзного движения, в том числе, через формирование устойчивой сети молодёжных советов (комиссий) членских организаций ФНПР как ресурса информационной работы и реализации кампаний солидарности. Однако</w:t>
      </w:r>
      <w:r>
        <w:rPr>
          <w:sz w:val="28"/>
          <w:szCs w:val="28"/>
          <w:shd w:val="clear" w:fill="FFFFFF" w:color="auto"/>
        </w:rPr>
        <w:t xml:space="preserve">,</w:t>
      </w:r>
      <w:r>
        <w:rPr>
          <w:sz w:val="28"/>
          <w:szCs w:val="28"/>
          <w:shd w:val="clear" w:fill="FFFFFF" w:color="auto"/>
        </w:rPr>
        <w:t xml:space="preserve"> программа стала двухступенчатой – отбор и обучение. Длительность каждой ступени 1 год. Участники</w:t>
      </w:r>
      <w:r>
        <w:rPr>
          <w:sz w:val="28"/>
          <w:szCs w:val="28"/>
          <w:shd w:val="clear" w:fill="FFFFFF" w:color="auto"/>
        </w:rPr>
        <w:t xml:space="preserve">,</w:t>
      </w:r>
      <w:r>
        <w:rPr>
          <w:sz w:val="28"/>
          <w:szCs w:val="28"/>
          <w:shd w:val="clear" w:fill="FFFFFF" w:color="auto"/>
        </w:rPr>
        <w:t xml:space="preserve"> успешно справившиеся с этапами </w:t>
      </w:r>
      <w:r>
        <w:rPr>
          <w:sz w:val="28"/>
          <w:szCs w:val="28"/>
          <w:shd w:val="clear" w:fill="FFFFFF" w:color="auto"/>
          <w:lang w:val="en-US"/>
        </w:rPr>
        <w:t xml:space="preserve">I</w:t>
      </w:r>
      <w:r>
        <w:rPr>
          <w:sz w:val="28"/>
          <w:szCs w:val="28"/>
          <w:shd w:val="clear" w:fill="FFFFFF" w:color="auto"/>
        </w:rPr>
        <w:t xml:space="preserve"> первой ступени </w:t>
      </w:r>
      <w:r>
        <w:rPr>
          <w:sz w:val="28"/>
          <w:szCs w:val="28"/>
          <w:shd w:val="clear" w:fill="FFFFFF" w:color="auto"/>
        </w:rPr>
        <w:t xml:space="preserve">       </w:t>
      </w:r>
      <w:r>
        <w:rPr>
          <w:sz w:val="28"/>
          <w:szCs w:val="28"/>
          <w:shd w:val="clear" w:fill="FFFFFF" w:color="auto"/>
        </w:rPr>
        <w:t xml:space="preserve">в текущем году, приглашаются на </w:t>
      </w:r>
      <w:r>
        <w:rPr>
          <w:sz w:val="28"/>
          <w:szCs w:val="28"/>
          <w:shd w:val="clear" w:fill="FFFFFF" w:color="auto"/>
          <w:lang w:val="en-US"/>
        </w:rPr>
        <w:t xml:space="preserve">II</w:t>
      </w:r>
      <w:r>
        <w:rPr>
          <w:sz w:val="28"/>
          <w:szCs w:val="28"/>
          <w:shd w:val="clear" w:fill="FFFFFF" w:color="auto"/>
        </w:rPr>
        <w:t xml:space="preserve"> ступень программы в следующем году.</w:t>
      </w:r>
      <w:r>
        <w:rPr>
          <w:sz w:val="28"/>
          <w:szCs w:val="28"/>
          <w:shd w:val="clear" w:fill="FFFFFF" w:color="auto"/>
        </w:rPr>
        <w:t xml:space="preserve">              </w:t>
      </w:r>
      <w:r>
        <w:rPr>
          <w:sz w:val="28"/>
          <w:szCs w:val="28"/>
          <w:shd w:val="clear" w:fill="FFFFFF" w:color="auto"/>
        </w:rPr>
        <w:t xml:space="preserve"> </w:t>
      </w:r>
      <w:r>
        <w:rPr>
          <w:sz w:val="28"/>
          <w:szCs w:val="28"/>
          <w:shd w:val="clear" w:fill="FFFFFF" w:color="auto"/>
          <w:lang w:val="en-US"/>
        </w:rPr>
        <w:t xml:space="preserve">I</w:t>
      </w:r>
      <w:r>
        <w:rPr>
          <w:sz w:val="28"/>
          <w:szCs w:val="28"/>
          <w:shd w:val="clear" w:fill="FFFFFF" w:color="auto"/>
        </w:rPr>
        <w:t xml:space="preserve"> ступень программы состояла из 4 этапов – квеста, окружного этапа, конкурсного испытания и федерального этапа.</w:t>
      </w:r>
      <w:r/>
    </w:p>
    <w:p>
      <w:pPr>
        <w:ind w:firstLine="708"/>
        <w:jc w:val="both"/>
        <w:spacing w:lineRule="auto" w:line="276"/>
        <w:rPr>
          <w:sz w:val="28"/>
          <w:szCs w:val="28"/>
          <w:shd w:val="clear" w:fill="FFFFFF" w:color="auto"/>
        </w:rPr>
      </w:pPr>
      <w:r>
        <w:rPr>
          <w:sz w:val="28"/>
          <w:szCs w:val="28"/>
          <w:shd w:val="clear" w:fill="FFFFFF" w:color="auto"/>
        </w:rPr>
        <w:t xml:space="preserve">Квест</w:t>
      </w:r>
      <w:r>
        <w:rPr>
          <w:sz w:val="28"/>
          <w:szCs w:val="28"/>
          <w:shd w:val="clear" w:fill="FFFFFF" w:color="auto"/>
        </w:rPr>
        <w:t xml:space="preserve"> проводился с 15.03.2021 по 15.07.2021</w:t>
      </w:r>
      <w:r>
        <w:rPr>
          <w:sz w:val="28"/>
          <w:szCs w:val="28"/>
          <w:shd w:val="clear" w:fill="FFFFFF" w:color="auto"/>
        </w:rPr>
        <w:t xml:space="preserve">. </w:t>
      </w:r>
      <w:r>
        <w:rPr>
          <w:bCs/>
          <w:sz w:val="28"/>
          <w:szCs w:val="28"/>
        </w:rPr>
        <w:t xml:space="preserve">Для начала </w:t>
      </w:r>
      <w:r>
        <w:rPr>
          <w:bCs/>
          <w:sz w:val="28"/>
          <w:szCs w:val="28"/>
        </w:rPr>
        <w:t xml:space="preserve">квеста</w:t>
      </w:r>
      <w:r>
        <w:rPr>
          <w:bCs/>
          <w:sz w:val="28"/>
          <w:szCs w:val="28"/>
        </w:rPr>
        <w:t xml:space="preserve"> участник должен был пройти электронную регистрацию на сайте stratrezerv.fnpr.ru. После регистрации участнику на мобильный телефон, указанный при регистрации, приходила ссылк</w:t>
      </w:r>
      <w:r>
        <w:rPr>
          <w:bCs/>
          <w:sz w:val="28"/>
          <w:szCs w:val="28"/>
        </w:rPr>
        <w:t xml:space="preserve">а на подключение к порталу ФНПР Битрикс 24 (для новых пользователей портала) или открывался доступ к группе квеста текущего года (для ранее зарегистрированных на портале пользователей). После получения доступа к заданиям участник самостоятельно выбирал себ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задания из числа предложенных и самостоятельно их выполнял. Задачей участника было набрать не менее 70% баллов от суммы всех баллов за выполнение заданий.</w:t>
      </w:r>
      <w:r>
        <w:rPr>
          <w:sz w:val="28"/>
          <w:szCs w:val="28"/>
          <w:shd w:val="clear" w:fill="FFFFFF" w:color="auto"/>
        </w:rPr>
        <w:t xml:space="preserve"> Среди з</w:t>
      </w:r>
      <w:r>
        <w:rPr>
          <w:bCs/>
          <w:sz w:val="28"/>
          <w:szCs w:val="28"/>
        </w:rPr>
        <w:t xml:space="preserve">аданий квеста были: </w:t>
      </w:r>
      <w:r>
        <w:rPr>
          <w:sz w:val="28"/>
          <w:szCs w:val="28"/>
          <w:shd w:val="clear" w:fill="FFFFFF" w:color="auto"/>
        </w:rPr>
        <w:t xml:space="preserve">проанализировать коллективный договор, распространяющийся на сотрудников организации, в которой работает участник</w:t>
      </w:r>
      <w:r>
        <w:rPr>
          <w:sz w:val="28"/>
          <w:szCs w:val="28"/>
          <w:shd w:val="clear" w:fill="FFFFFF" w:color="auto"/>
        </w:rPr>
        <w:t xml:space="preserve">;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fill="FFFFFF" w:color="auto"/>
        </w:rPr>
        <w:t xml:space="preserve">проанализировать региональное трёхстороннее соглашение, действующее </w:t>
      </w:r>
      <w:r>
        <w:rPr>
          <w:sz w:val="28"/>
          <w:szCs w:val="28"/>
          <w:shd w:val="clear" w:fill="FFFFFF" w:color="auto"/>
        </w:rPr>
        <w:t xml:space="preserve">             </w:t>
      </w:r>
      <w:r>
        <w:rPr>
          <w:sz w:val="28"/>
          <w:szCs w:val="28"/>
          <w:shd w:val="clear" w:fill="FFFFFF" w:color="auto"/>
        </w:rPr>
        <w:t xml:space="preserve">в регионе </w:t>
      </w:r>
      <w:r>
        <w:rPr>
          <w:sz w:val="28"/>
          <w:szCs w:val="28"/>
          <w:shd w:val="clear" w:fill="FFFFFF" w:color="auto"/>
        </w:rPr>
        <w:t xml:space="preserve">проживания участника</w:t>
      </w:r>
      <w:r>
        <w:rPr>
          <w:sz w:val="28"/>
          <w:szCs w:val="28"/>
          <w:shd w:val="clear" w:fill="FFFFFF" w:color="auto"/>
        </w:rPr>
        <w:t xml:space="preserve">;</w:t>
      </w:r>
      <w:r>
        <w:rPr>
          <w:sz w:val="28"/>
          <w:szCs w:val="28"/>
          <w:shd w:val="clear" w:fill="FFFFFF" w:color="auto"/>
        </w:rPr>
        <w:t xml:space="preserve"> подготовить доклад о деятельности  правозащитных НКО, действующих в регионе проживания участника</w:t>
      </w:r>
      <w:r>
        <w:rPr>
          <w:sz w:val="28"/>
          <w:szCs w:val="28"/>
          <w:shd w:val="clear" w:fill="FFFFFF" w:color="auto"/>
        </w:rPr>
        <w:t xml:space="preserve">,</w:t>
      </w:r>
      <w:r>
        <w:rPr>
          <w:sz w:val="28"/>
          <w:szCs w:val="28"/>
          <w:shd w:val="clear" w:fill="FFFFFF" w:color="auto"/>
        </w:rPr>
        <w:t xml:space="preserve"> </w:t>
      </w:r>
      <w:r>
        <w:rPr>
          <w:sz w:val="28"/>
          <w:szCs w:val="28"/>
          <w:shd w:val="clear" w:fill="FFFFFF" w:color="auto"/>
        </w:rPr>
        <w:t xml:space="preserve">                    </w:t>
      </w:r>
      <w:r>
        <w:rPr>
          <w:sz w:val="28"/>
          <w:szCs w:val="28"/>
          <w:shd w:val="clear" w:fill="FFFFFF" w:color="auto"/>
        </w:rPr>
        <w:t xml:space="preserve">и проанализировать региональные программы занятости молодёжи.</w:t>
      </w:r>
      <w:r/>
    </w:p>
    <w:p>
      <w:pPr>
        <w:ind w:firstLine="709"/>
        <w:jc w:val="both"/>
        <w:spacing w:lineRule="exact" w:line="360"/>
        <w:rPr>
          <w:b/>
          <w:bCs/>
          <w:shd w:val="clear" w:fill="FFFFFF" w:color="auto"/>
        </w:rPr>
      </w:pPr>
      <w:r>
        <w:rPr>
          <w:sz w:val="28"/>
          <w:szCs w:val="28"/>
        </w:rPr>
        <w:t xml:space="preserve">Всего для участия в I ступени зарегистрировал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 731 человек. Из них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111 человек справились с </w:t>
      </w:r>
      <w:r>
        <w:rPr>
          <w:sz w:val="28"/>
          <w:szCs w:val="28"/>
        </w:rPr>
        <w:t xml:space="preserve">заданиями</w:t>
      </w:r>
      <w:r>
        <w:rPr>
          <w:sz w:val="28"/>
          <w:szCs w:val="28"/>
        </w:rPr>
        <w:t xml:space="preserve"> и перешли на следующий этап программы. </w:t>
      </w:r>
      <w:r>
        <w:rPr>
          <w:sz w:val="28"/>
          <w:szCs w:val="28"/>
          <w:shd w:val="clear" w:fill="FFFFFF" w:color="auto"/>
        </w:rPr>
        <w:t xml:space="preserve">Дополнительные баллы участники квеста могли получить, приняв участие </w:t>
      </w:r>
      <w:r>
        <w:rPr>
          <w:sz w:val="28"/>
          <w:szCs w:val="28"/>
          <w:shd w:val="clear" w:fill="FFFFFF" w:color="auto"/>
        </w:rPr>
        <w:t xml:space="preserve">            </w:t>
      </w:r>
      <w:r>
        <w:rPr>
          <w:sz w:val="28"/>
          <w:szCs w:val="28"/>
          <w:shd w:val="clear" w:fill="FFFFFF" w:color="auto"/>
        </w:rPr>
        <w:t xml:space="preserve">в региональных или отраслевых молодёжных мероприятиях. О проведении таких мероприятий отчитались </w:t>
      </w:r>
      <w:r>
        <w:rPr>
          <w:sz w:val="28"/>
          <w:szCs w:val="28"/>
          <w:shd w:val="clear" w:fill="FFFFFF" w:color="auto"/>
        </w:rPr>
        <w:t xml:space="preserve">следующие </w:t>
      </w:r>
      <w:r>
        <w:rPr>
          <w:sz w:val="28"/>
          <w:szCs w:val="28"/>
          <w:shd w:val="clear" w:fill="FFFFFF" w:color="auto"/>
        </w:rPr>
        <w:t xml:space="preserve">территориальные объед</w:t>
      </w:r>
      <w:r>
        <w:rPr>
          <w:sz w:val="28"/>
          <w:szCs w:val="28"/>
          <w:shd w:val="clear" w:fill="FFFFFF" w:color="auto"/>
        </w:rPr>
        <w:t xml:space="preserve">инения организаций профсоюзов</w:t>
      </w:r>
      <w:r>
        <w:rPr>
          <w:sz w:val="28"/>
          <w:szCs w:val="28"/>
          <w:shd w:val="clear" w:fill="FFFFFF" w:color="auto"/>
        </w:rPr>
        <w:t xml:space="preserve">: </w:t>
      </w:r>
      <w:r>
        <w:rPr>
          <w:bCs/>
          <w:sz w:val="28"/>
          <w:szCs w:val="28"/>
          <w:shd w:val="clear" w:fill="FFFFFF" w:color="auto"/>
        </w:rPr>
        <w:t xml:space="preserve">Союз организаций профсоюзов «Волгоградский областной совет профессиональных союзов», Союз организаций профсоюзов - Вологодская област</w:t>
      </w:r>
      <w:r>
        <w:rPr>
          <w:bCs/>
          <w:sz w:val="28"/>
          <w:szCs w:val="28"/>
          <w:shd w:val="clear" w:fill="FFFFFF" w:color="auto"/>
        </w:rPr>
        <w:t xml:space="preserve">ная федерация профсоюзов, Союз «</w:t>
      </w:r>
      <w:r>
        <w:rPr>
          <w:bCs/>
          <w:sz w:val="28"/>
          <w:szCs w:val="28"/>
          <w:shd w:val="clear" w:fill="FFFFFF" w:color="auto"/>
        </w:rPr>
        <w:t xml:space="preserve">Белгородское областное объ</w:t>
      </w:r>
      <w:r>
        <w:rPr>
          <w:bCs/>
          <w:sz w:val="28"/>
          <w:szCs w:val="28"/>
          <w:shd w:val="clear" w:fill="FFFFFF" w:color="auto"/>
        </w:rPr>
        <w:t xml:space="preserve">единение организаций профсоюзов», Союз «</w:t>
      </w:r>
      <w:r>
        <w:rPr>
          <w:bCs/>
          <w:sz w:val="28"/>
          <w:szCs w:val="28"/>
          <w:shd w:val="clear" w:fill="FFFFFF" w:color="auto"/>
        </w:rPr>
        <w:t xml:space="preserve">Иркутское областное объединение организаций профсоюзов</w:t>
      </w:r>
      <w:r>
        <w:rPr>
          <w:bCs/>
          <w:sz w:val="28"/>
          <w:szCs w:val="28"/>
          <w:shd w:val="clear" w:fill="FFFFFF" w:color="auto"/>
        </w:rPr>
        <w:t xml:space="preserve">»</w:t>
      </w:r>
      <w:r>
        <w:rPr>
          <w:bCs/>
          <w:sz w:val="28"/>
          <w:szCs w:val="28"/>
          <w:shd w:val="clear" w:fill="FFFFFF" w:color="auto"/>
        </w:rPr>
        <w:t xml:space="preserve">, Территориальный союз организаций профсоюзов «Калужский областной совет профсоюзов», Кемеровский областной союз организаций профсоюзов </w:t>
      </w:r>
      <w:r>
        <w:rPr>
          <w:bCs/>
          <w:sz w:val="28"/>
          <w:szCs w:val="28"/>
          <w:shd w:val="clear" w:fill="FFFFFF" w:color="auto"/>
        </w:rPr>
        <w:t xml:space="preserve">«</w:t>
      </w:r>
      <w:r>
        <w:rPr>
          <w:bCs/>
          <w:sz w:val="28"/>
          <w:szCs w:val="28"/>
          <w:shd w:val="clear" w:fill="FFFFFF" w:color="auto"/>
        </w:rPr>
        <w:t xml:space="preserve">Федерация п</w:t>
      </w:r>
      <w:r>
        <w:rPr>
          <w:bCs/>
          <w:sz w:val="28"/>
          <w:szCs w:val="28"/>
          <w:shd w:val="clear" w:fill="FFFFFF" w:color="auto"/>
        </w:rPr>
        <w:t xml:space="preserve">рофсоюзных организаций Кузбасса»</w:t>
      </w:r>
      <w:r>
        <w:rPr>
          <w:bCs/>
          <w:sz w:val="28"/>
          <w:szCs w:val="28"/>
          <w:shd w:val="clear" w:fill="FFFFFF" w:color="auto"/>
        </w:rPr>
        <w:t xml:space="preserve">, Кировский областной союз организаций профсоюзов </w:t>
      </w:r>
      <w:r>
        <w:rPr>
          <w:bCs/>
          <w:sz w:val="28"/>
          <w:szCs w:val="28"/>
          <w:shd w:val="clear" w:fill="FFFFFF" w:color="auto"/>
        </w:rPr>
        <w:t xml:space="preserve">«</w:t>
      </w:r>
      <w:r>
        <w:rPr>
          <w:bCs/>
          <w:sz w:val="28"/>
          <w:szCs w:val="28"/>
          <w:shd w:val="clear" w:fill="FFFFFF" w:color="auto"/>
        </w:rPr>
        <w:t xml:space="preserve">Федерация профсоюзных организаций Кировской области</w:t>
      </w:r>
      <w:r>
        <w:rPr>
          <w:bCs/>
          <w:sz w:val="28"/>
          <w:szCs w:val="28"/>
          <w:shd w:val="clear" w:fill="FFFFFF" w:color="auto"/>
        </w:rPr>
        <w:t xml:space="preserve">»</w:t>
      </w:r>
      <w:r>
        <w:rPr>
          <w:bCs/>
          <w:sz w:val="28"/>
          <w:szCs w:val="28"/>
          <w:shd w:val="clear" w:fill="FFFFFF" w:color="auto"/>
        </w:rPr>
        <w:t xml:space="preserve">, Союз </w:t>
      </w:r>
      <w:r>
        <w:rPr>
          <w:bCs/>
          <w:sz w:val="28"/>
          <w:szCs w:val="28"/>
          <w:shd w:val="clear" w:fill="FFFFFF" w:color="auto"/>
        </w:rPr>
        <w:t xml:space="preserve">«</w:t>
      </w:r>
      <w:r>
        <w:rPr>
          <w:bCs/>
          <w:sz w:val="28"/>
          <w:szCs w:val="28"/>
          <w:shd w:val="clear" w:fill="FFFFFF" w:color="auto"/>
        </w:rPr>
        <w:t xml:space="preserve">Краснодарское краевое объединение организаций профсоюзов</w:t>
      </w:r>
      <w:r>
        <w:rPr>
          <w:bCs/>
          <w:sz w:val="28"/>
          <w:szCs w:val="28"/>
          <w:shd w:val="clear" w:fill="FFFFFF" w:color="auto"/>
        </w:rPr>
        <w:t xml:space="preserve">»</w:t>
      </w:r>
      <w:r>
        <w:rPr>
          <w:bCs/>
          <w:sz w:val="28"/>
          <w:szCs w:val="28"/>
          <w:shd w:val="clear" w:fill="FFFFFF" w:color="auto"/>
        </w:rPr>
        <w:t xml:space="preserve">, Красноярский краевой союз организаций профсоюзов </w:t>
      </w:r>
      <w:r>
        <w:rPr>
          <w:bCs/>
          <w:sz w:val="28"/>
          <w:szCs w:val="28"/>
          <w:shd w:val="clear" w:fill="FFFFFF" w:color="auto"/>
        </w:rPr>
        <w:t xml:space="preserve">«</w:t>
      </w:r>
      <w:r>
        <w:rPr>
          <w:bCs/>
          <w:sz w:val="28"/>
          <w:szCs w:val="28"/>
          <w:shd w:val="clear" w:fill="FFFFFF" w:color="auto"/>
        </w:rPr>
        <w:t xml:space="preserve">Федерация профсоюзов Красноярского края</w:t>
      </w:r>
      <w:r>
        <w:rPr>
          <w:bCs/>
          <w:sz w:val="28"/>
          <w:szCs w:val="28"/>
          <w:shd w:val="clear" w:fill="FFFFFF" w:color="auto"/>
        </w:rPr>
        <w:t xml:space="preserve">»</w:t>
      </w:r>
      <w:r>
        <w:rPr>
          <w:bCs/>
          <w:sz w:val="28"/>
          <w:szCs w:val="28"/>
          <w:shd w:val="clear" w:fill="FFFFFF" w:color="auto"/>
        </w:rPr>
        <w:t xml:space="preserve">, </w:t>
      </w:r>
      <w:r>
        <w:rPr>
          <w:bCs/>
          <w:sz w:val="28"/>
          <w:szCs w:val="28"/>
          <w:shd w:val="clear" w:fill="FFFFFF" w:color="auto"/>
        </w:rPr>
        <w:t xml:space="preserve">Омский областной союз организаций профсоюзов «Федерация Омских профсоюзов», Пензенский областной союз организаций профсоюзов </w:t>
      </w:r>
      <w:r>
        <w:rPr>
          <w:bCs/>
          <w:sz w:val="28"/>
          <w:szCs w:val="28"/>
          <w:shd w:val="clear" w:fill="FFFFFF" w:color="auto"/>
        </w:rPr>
        <w:t xml:space="preserve">«</w:t>
      </w:r>
      <w:r>
        <w:rPr>
          <w:bCs/>
          <w:sz w:val="28"/>
          <w:szCs w:val="28"/>
          <w:shd w:val="clear" w:fill="FFFFFF" w:color="auto"/>
        </w:rPr>
        <w:t xml:space="preserve">Федерация профсоюзов Пензенской области</w:t>
      </w:r>
      <w:r>
        <w:rPr>
          <w:bCs/>
          <w:sz w:val="28"/>
          <w:szCs w:val="28"/>
          <w:shd w:val="clear" w:fill="FFFFFF" w:color="auto"/>
        </w:rPr>
        <w:t xml:space="preserve">»</w:t>
      </w:r>
      <w:r>
        <w:rPr>
          <w:bCs/>
          <w:sz w:val="28"/>
          <w:szCs w:val="28"/>
          <w:shd w:val="clear" w:fill="FFFFFF" w:color="auto"/>
        </w:rPr>
        <w:t xml:space="preserve">, Псковский региональный союз организаций профсоюзов </w:t>
      </w:r>
      <w:r>
        <w:rPr>
          <w:bCs/>
          <w:sz w:val="28"/>
          <w:szCs w:val="28"/>
          <w:shd w:val="clear" w:fill="FFFFFF" w:color="auto"/>
        </w:rPr>
        <w:t xml:space="preserve">«</w:t>
      </w:r>
      <w:r>
        <w:rPr>
          <w:bCs/>
          <w:sz w:val="28"/>
          <w:szCs w:val="28"/>
          <w:shd w:val="clear" w:fill="FFFFFF" w:color="auto"/>
        </w:rPr>
        <w:t xml:space="preserve">Псковский областной совет профессиональных союзов</w:t>
      </w:r>
      <w:r>
        <w:rPr>
          <w:bCs/>
          <w:sz w:val="28"/>
          <w:szCs w:val="28"/>
          <w:shd w:val="clear" w:fill="FFFFFF" w:color="auto"/>
        </w:rPr>
        <w:t xml:space="preserve">», Союз организаций профсоюзов «</w:t>
      </w:r>
      <w:r>
        <w:rPr>
          <w:bCs/>
          <w:sz w:val="28"/>
          <w:szCs w:val="28"/>
          <w:shd w:val="clear" w:fill="FFFFFF" w:color="auto"/>
        </w:rPr>
        <w:t xml:space="preserve">Федерация профсоюзов Ростовской области</w:t>
      </w:r>
      <w:r>
        <w:rPr>
          <w:bCs/>
          <w:sz w:val="28"/>
          <w:szCs w:val="28"/>
          <w:shd w:val="clear" w:fill="FFFFFF" w:color="auto"/>
        </w:rPr>
        <w:t xml:space="preserve">»</w:t>
      </w:r>
      <w:r>
        <w:rPr>
          <w:bCs/>
          <w:sz w:val="28"/>
          <w:szCs w:val="28"/>
          <w:shd w:val="clear" w:fill="FFFFFF" w:color="auto"/>
        </w:rPr>
        <w:t xml:space="preserve">, Республиканский союз </w:t>
      </w:r>
      <w:r>
        <w:rPr>
          <w:bCs/>
          <w:sz w:val="28"/>
          <w:szCs w:val="28"/>
          <w:shd w:val="clear" w:fill="FFFFFF" w:color="auto"/>
        </w:rPr>
        <w:t xml:space="preserve">«</w:t>
      </w:r>
      <w:r>
        <w:rPr>
          <w:bCs/>
          <w:sz w:val="28"/>
          <w:szCs w:val="28"/>
          <w:shd w:val="clear" w:fill="FFFFFF" w:color="auto"/>
        </w:rPr>
        <w:t xml:space="preserve">Федерация профсоюзов Республики Башкортостан</w:t>
      </w:r>
      <w:r>
        <w:rPr>
          <w:bCs/>
          <w:sz w:val="28"/>
          <w:szCs w:val="28"/>
          <w:shd w:val="clear" w:fill="FFFFFF" w:color="auto"/>
        </w:rPr>
        <w:t xml:space="preserve">»</w:t>
      </w:r>
      <w:r>
        <w:rPr>
          <w:bCs/>
          <w:sz w:val="28"/>
          <w:szCs w:val="28"/>
          <w:shd w:val="clear" w:fill="FFFFFF" w:color="auto"/>
        </w:rPr>
        <w:t xml:space="preserve">.</w:t>
      </w:r>
      <w:r>
        <w:rPr>
          <w:b/>
          <w:bCs/>
          <w:shd w:val="clear" w:fill="FFFFFF" w:color="auto"/>
        </w:rPr>
        <w:t xml:space="preserve"> </w:t>
      </w:r>
      <w:r>
        <w:rPr>
          <w:sz w:val="28"/>
          <w:szCs w:val="28"/>
          <w:shd w:val="clear" w:fill="FFFFFF" w:color="auto"/>
        </w:rPr>
        <w:t xml:space="preserve">В программу их мероприятий вошли обучающие семинары по организационной работе, информационной работе, лекции об истории профсоюзного движения. Отраслевые профсоюзы </w:t>
      </w:r>
      <w:r>
        <w:rPr>
          <w:sz w:val="28"/>
          <w:szCs w:val="28"/>
          <w:shd w:val="clear" w:fill="FFFFFF" w:color="auto"/>
        </w:rPr>
        <w:t xml:space="preserve">                            </w:t>
      </w:r>
      <w:r>
        <w:rPr>
          <w:sz w:val="28"/>
          <w:szCs w:val="28"/>
          <w:shd w:val="clear" w:fill="FFFFFF" w:color="auto"/>
        </w:rPr>
        <w:t xml:space="preserve">о проведении соответствующих мероприятий для начисления баллов своим активистам не сообщали. </w:t>
      </w:r>
      <w:r/>
    </w:p>
    <w:p>
      <w:pPr>
        <w:ind w:firstLine="708"/>
        <w:jc w:val="both"/>
        <w:spacing w:lineRule="exact" w:line="360"/>
        <w:rPr>
          <w:sz w:val="28"/>
          <w:szCs w:val="28"/>
          <w:shd w:val="clear" w:fill="FFFFFF" w:color="auto"/>
        </w:rPr>
      </w:pPr>
      <w:r>
        <w:rPr>
          <w:sz w:val="28"/>
          <w:szCs w:val="28"/>
          <w:shd w:val="clear" w:fill="FFFFFF" w:color="auto"/>
        </w:rPr>
        <w:t xml:space="preserve">Окружные этапы программы прошли в запланированные сроки и во всех федеральных округах. Всего в них приняли участие порядка 400 молодых профсоюзных активистов. Несмотря на сложную эпидемиологическую обстановку</w:t>
      </w:r>
      <w:r>
        <w:rPr>
          <w:sz w:val="28"/>
          <w:szCs w:val="28"/>
          <w:shd w:val="clear" w:fill="FFFFFF" w:color="auto"/>
        </w:rPr>
        <w:t xml:space="preserve">,</w:t>
      </w:r>
      <w:r>
        <w:rPr>
          <w:sz w:val="28"/>
          <w:szCs w:val="28"/>
          <w:shd w:val="clear" w:fill="FFFFFF" w:color="auto"/>
        </w:rPr>
        <w:t xml:space="preserve"> большинство из окружных мероприятий  состоял</w:t>
      </w:r>
      <w:r>
        <w:rPr>
          <w:sz w:val="28"/>
          <w:szCs w:val="28"/>
          <w:shd w:val="clear" w:fill="FFFFFF" w:color="auto"/>
        </w:rPr>
        <w:t xml:space="preserve">о</w:t>
      </w:r>
      <w:r>
        <w:rPr>
          <w:sz w:val="28"/>
          <w:szCs w:val="28"/>
          <w:shd w:val="clear" w:fill="FFFFFF" w:color="auto"/>
        </w:rPr>
        <w:t xml:space="preserve">сь в очном формате. Участники изучали профсоюзный органайзинг, порядок создания первичной профсоюзной организации, молод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жных советов. Знакомились </w:t>
      </w:r>
      <w:r>
        <w:rPr>
          <w:sz w:val="28"/>
          <w:szCs w:val="28"/>
          <w:shd w:val="clear" w:fill="FFFFFF" w:color="auto"/>
        </w:rPr>
        <w:t xml:space="preserve">             </w:t>
      </w:r>
      <w:r>
        <w:rPr>
          <w:sz w:val="28"/>
          <w:szCs w:val="28"/>
          <w:shd w:val="clear" w:fill="FFFFFF" w:color="auto"/>
        </w:rPr>
        <w:t xml:space="preserve">с правовыми основами проведения коллективных действий и кампаний солидарности. Обсуждали пути развития молод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жной политики и способы привлечения людей в профсоюзы. Слушали лекции об основах социального партн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рства. Осваивали</w:t>
      </w:r>
      <w:r>
        <w:rPr>
          <w:sz w:val="28"/>
          <w:szCs w:val="28"/>
          <w:shd w:val="clear" w:fill="FFFFFF" w:color="auto"/>
        </w:rPr>
        <w:t xml:space="preserve"> эффе</w:t>
      </w:r>
      <w:r>
        <w:rPr>
          <w:sz w:val="28"/>
          <w:szCs w:val="28"/>
          <w:shd w:val="clear" w:fill="FFFFFF" w:color="auto"/>
        </w:rPr>
        <w:t xml:space="preserve">ктивные инструменты профсоюзной </w:t>
      </w:r>
      <w:r>
        <w:rPr>
          <w:sz w:val="28"/>
          <w:szCs w:val="28"/>
          <w:shd w:val="clear" w:fill="FFFFFF" w:color="auto"/>
        </w:rPr>
        <w:t xml:space="preserve">информационной работы.</w:t>
      </w:r>
      <w:r/>
    </w:p>
    <w:p>
      <w:pPr>
        <w:ind w:firstLine="708"/>
        <w:jc w:val="both"/>
        <w:spacing w:lineRule="exact" w:line="360"/>
        <w:rPr>
          <w:sz w:val="28"/>
          <w:szCs w:val="28"/>
          <w:shd w:val="clear" w:fill="FFFFFF" w:color="auto"/>
        </w:rPr>
      </w:pPr>
      <w:r>
        <w:rPr>
          <w:sz w:val="28"/>
          <w:szCs w:val="28"/>
          <w:lang w:eastAsia="zh-CN"/>
        </w:rPr>
        <w:t xml:space="preserve">В Северо-Западном </w:t>
      </w:r>
      <w:r>
        <w:rPr>
          <w:sz w:val="28"/>
          <w:szCs w:val="28"/>
          <w:lang w:eastAsia="zh-CN"/>
        </w:rPr>
        <w:t xml:space="preserve">ф</w:t>
      </w:r>
      <w:r>
        <w:rPr>
          <w:sz w:val="28"/>
          <w:szCs w:val="28"/>
          <w:lang w:eastAsia="zh-CN"/>
        </w:rPr>
        <w:t xml:space="preserve">едеральном округе </w:t>
      </w:r>
      <w:r>
        <w:rPr>
          <w:sz w:val="28"/>
          <w:szCs w:val="28"/>
        </w:rPr>
        <w:t xml:space="preserve">мероприятия этапа проводились 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с 19 по 26 августа </w:t>
      </w:r>
      <w:r>
        <w:rPr>
          <w:bCs/>
          <w:sz w:val="28"/>
          <w:szCs w:val="28"/>
        </w:rPr>
        <w:t xml:space="preserve">2021 года </w:t>
      </w:r>
      <w:r>
        <w:rPr>
          <w:bCs/>
          <w:sz w:val="28"/>
          <w:szCs w:val="28"/>
        </w:rPr>
        <w:t xml:space="preserve">на площадке </w:t>
      </w:r>
      <w:r>
        <w:rPr>
          <w:sz w:val="28"/>
          <w:szCs w:val="28"/>
          <w:lang w:eastAsia="zh-CN"/>
        </w:rPr>
        <w:t xml:space="preserve">Межрегионального молодежного образовательного форума «Ладога 2021», организуемого </w:t>
      </w:r>
      <w:r>
        <w:rPr>
          <w:sz w:val="28"/>
          <w:szCs w:val="28"/>
          <w:lang w:eastAsia="zh-CN"/>
        </w:rPr>
        <w:t xml:space="preserve">при</w:t>
      </w:r>
      <w:r>
        <w:rPr>
          <w:sz w:val="28"/>
          <w:szCs w:val="28"/>
          <w:lang w:eastAsia="zh-CN"/>
        </w:rPr>
        <w:t xml:space="preserve"> поддержки ФАДМ </w:t>
      </w:r>
      <w:r>
        <w:rPr>
          <w:sz w:val="28"/>
          <w:szCs w:val="28"/>
          <w:lang w:eastAsia="zh-CN"/>
        </w:rPr>
        <w:t xml:space="preserve">«РОСМОЛОДЕЖЬ». </w:t>
      </w:r>
      <w:r>
        <w:rPr>
          <w:sz w:val="28"/>
          <w:szCs w:val="28"/>
          <w:shd w:val="clear" w:fill="FFFFFF" w:color="auto"/>
        </w:rPr>
        <w:t xml:space="preserve">Форум собрал более пятисот молодых людей со всей России. Участниками Профсоюзной площадки стали не только </w:t>
      </w:r>
      <w:r>
        <w:rPr>
          <w:sz w:val="28"/>
          <w:szCs w:val="28"/>
          <w:shd w:val="clear" w:fill="FFFFFF" w:color="auto"/>
        </w:rPr>
        <w:t xml:space="preserve">участники «</w:t>
      </w:r>
      <w:r>
        <w:rPr>
          <w:sz w:val="28"/>
          <w:szCs w:val="28"/>
          <w:shd w:val="clear" w:fill="FFFFFF" w:color="auto"/>
        </w:rPr>
        <w:t xml:space="preserve">Стратрезерва</w:t>
      </w:r>
      <w:r>
        <w:rPr>
          <w:sz w:val="28"/>
          <w:szCs w:val="28"/>
          <w:shd w:val="clear" w:fill="FFFFFF" w:color="auto"/>
        </w:rPr>
        <w:t xml:space="preserve">», но и </w:t>
      </w:r>
      <w:r>
        <w:rPr>
          <w:sz w:val="28"/>
          <w:szCs w:val="28"/>
          <w:shd w:val="clear" w:fill="FFFFFF" w:color="auto"/>
        </w:rPr>
        <w:t xml:space="preserve">члены молод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жного совета ТООП ФНПР в СЗФО и молодые активисты, отобранные по квоте членских организаций ТООП ФНПР в СЗФО</w:t>
      </w:r>
      <w:r>
        <w:rPr>
          <w:sz w:val="28"/>
          <w:szCs w:val="28"/>
          <w:shd w:val="clear" w:fill="FFFFFF" w:color="auto"/>
        </w:rPr>
        <w:t xml:space="preserve">,</w:t>
      </w:r>
      <w:r>
        <w:rPr>
          <w:sz w:val="28"/>
          <w:szCs w:val="28"/>
          <w:shd w:val="clear" w:fill="FFFFFF" w:color="auto"/>
        </w:rPr>
        <w:t xml:space="preserve"> – всего </w:t>
      </w:r>
      <w:r>
        <w:rPr>
          <w:sz w:val="28"/>
          <w:szCs w:val="28"/>
          <w:shd w:val="clear" w:fill="FFFFFF" w:color="auto"/>
        </w:rPr>
        <w:t xml:space="preserve">          </w:t>
      </w:r>
      <w:r>
        <w:rPr>
          <w:sz w:val="28"/>
          <w:szCs w:val="28"/>
          <w:shd w:val="clear" w:fill="FFFFFF" w:color="auto"/>
        </w:rPr>
        <w:t xml:space="preserve">26 молодых профсоюзных активистов –</w:t>
      </w:r>
      <w:r>
        <w:rPr>
          <w:sz w:val="28"/>
          <w:szCs w:val="28"/>
          <w:shd w:val="clear" w:fill="FFFFFF" w:color="auto"/>
        </w:rPr>
        <w:t xml:space="preserve"> представителей всех субъектов </w:t>
      </w:r>
      <w:r>
        <w:rPr>
          <w:sz w:val="28"/>
          <w:szCs w:val="28"/>
          <w:shd w:val="clear" w:fill="FFFFFF" w:color="auto"/>
        </w:rPr>
        <w:t xml:space="preserve">Северо-Запада</w:t>
      </w:r>
      <w:r>
        <w:rPr>
          <w:sz w:val="28"/>
          <w:szCs w:val="28"/>
          <w:shd w:val="clear" w:fill="FFFFFF" w:color="auto"/>
        </w:rPr>
        <w:t xml:space="preserve"> страны, кроме Архангельской области. Программное наполнение форума было насыщенным. Состоялся круглый стол на темы: </w:t>
      </w:r>
      <w:r>
        <w:rPr>
          <w:bCs/>
          <w:sz w:val="28"/>
          <w:szCs w:val="28"/>
          <w:shd w:val="clear" w:fill="FFFFFF" w:color="auto"/>
        </w:rPr>
        <w:t xml:space="preserve">«Участие профсоюзной молод</w:t>
      </w:r>
      <w:r>
        <w:rPr>
          <w:bCs/>
          <w:sz w:val="28"/>
          <w:szCs w:val="28"/>
          <w:shd w:val="clear" w:fill="FFFFFF" w:color="auto"/>
        </w:rPr>
        <w:t xml:space="preserve">ё</w:t>
      </w:r>
      <w:r>
        <w:rPr>
          <w:bCs/>
          <w:sz w:val="28"/>
          <w:szCs w:val="28"/>
          <w:shd w:val="clear" w:fill="FFFFFF" w:color="auto"/>
        </w:rPr>
        <w:t xml:space="preserve">жи в актуальной информационной повестке», «Развитие системы взаимодействия профсоюзной молод</w:t>
      </w:r>
      <w:r>
        <w:rPr>
          <w:bCs/>
          <w:sz w:val="28"/>
          <w:szCs w:val="28"/>
          <w:shd w:val="clear" w:fill="FFFFFF" w:color="auto"/>
        </w:rPr>
        <w:t xml:space="preserve">ё</w:t>
      </w:r>
      <w:r>
        <w:rPr>
          <w:bCs/>
          <w:sz w:val="28"/>
          <w:szCs w:val="28"/>
          <w:shd w:val="clear" w:fill="FFFFFF" w:color="auto"/>
        </w:rPr>
        <w:t xml:space="preserve">жи с внешними молод</w:t>
      </w:r>
      <w:r>
        <w:rPr>
          <w:bCs/>
          <w:sz w:val="28"/>
          <w:szCs w:val="28"/>
          <w:shd w:val="clear" w:fill="FFFFFF" w:color="auto"/>
        </w:rPr>
        <w:t xml:space="preserve">ё</w:t>
      </w:r>
      <w:r>
        <w:rPr>
          <w:bCs/>
          <w:sz w:val="28"/>
          <w:szCs w:val="28"/>
          <w:shd w:val="clear" w:fill="FFFFFF" w:color="auto"/>
        </w:rPr>
        <w:t xml:space="preserve">жными структурами».</w:t>
      </w:r>
      <w:r>
        <w:rPr>
          <w:sz w:val="28"/>
          <w:szCs w:val="28"/>
          <w:shd w:val="clear" w:fill="FFFFFF" w:color="auto"/>
        </w:rPr>
        <w:t xml:space="preserve"> В работе форума принял участие заместитель Председателя ФНПР </w:t>
      </w:r>
      <w:r>
        <w:rPr>
          <w:sz w:val="28"/>
          <w:szCs w:val="28"/>
          <w:shd w:val="clear" w:fill="FFFFFF" w:color="auto"/>
        </w:rPr>
        <w:t xml:space="preserve">Шершуков</w:t>
      </w:r>
      <w:r>
        <w:rPr>
          <w:sz w:val="28"/>
          <w:szCs w:val="28"/>
          <w:shd w:val="clear" w:fill="FFFFFF" w:color="auto"/>
        </w:rPr>
        <w:t xml:space="preserve"> А.В.</w:t>
      </w:r>
      <w:r>
        <w:rPr>
          <w:sz w:val="28"/>
          <w:szCs w:val="28"/>
          <w:shd w:val="clear" w:fill="FFFFFF" w:color="auto"/>
        </w:rPr>
        <w:t xml:space="preserve"> Помимо образовательной программы площадки «Профсоюзное развитие» ребята могли посещать различные </w:t>
      </w:r>
      <w:r>
        <w:rPr>
          <w:sz w:val="28"/>
          <w:szCs w:val="28"/>
          <w:shd w:val="clear" w:fill="FFFFFF" w:color="auto"/>
        </w:rPr>
        <w:t xml:space="preserve">мероприятия</w:t>
      </w:r>
      <w:r>
        <w:rPr>
          <w:sz w:val="28"/>
          <w:szCs w:val="28"/>
          <w:shd w:val="clear" w:fill="FFFFFF" w:color="auto"/>
        </w:rPr>
        <w:t xml:space="preserve"> форума, практические занятия в игровой форме, а также участвовать во встречах с приглаш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нными гостями.</w:t>
      </w:r>
      <w:r/>
    </w:p>
    <w:p>
      <w:pPr>
        <w:pStyle w:val="877"/>
        <w:ind w:firstLine="709"/>
        <w:jc w:val="both"/>
        <w:spacing w:lineRule="exact" w:line="360" w:after="0" w:before="0"/>
        <w:rPr>
          <w:sz w:val="28"/>
          <w:szCs w:val="28"/>
        </w:rPr>
      </w:pPr>
      <w:r>
        <w:rPr>
          <w:sz w:val="28"/>
          <w:szCs w:val="28"/>
        </w:rPr>
        <w:t xml:space="preserve">11 сентября 2021 года в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Владивостоке состоялся Да</w:t>
      </w:r>
      <w:r>
        <w:rPr>
          <w:sz w:val="28"/>
          <w:szCs w:val="28"/>
        </w:rPr>
        <w:t xml:space="preserve">льневосточный окружной этап. В </w:t>
      </w:r>
      <w:r>
        <w:rPr>
          <w:sz w:val="28"/>
          <w:szCs w:val="28"/>
        </w:rPr>
        <w:t xml:space="preserve">Культурно-развлекательном центре Федерации профсоюзов Приморского края окружной этап собрал 36 представителей профсоюзной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Приморья, а в режиме видеоконференции в нем принимали участие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11 представителей территориальных объединений организаций профсоюзов Камчатского и Хабаровского края, Магаданской области.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Северо-Кавказском</w:t>
      </w:r>
      <w:r>
        <w:rPr>
          <w:sz w:val="28"/>
          <w:szCs w:val="28"/>
        </w:rPr>
        <w:t xml:space="preserve"> федеральном округе окружной этап «Стратегического резерва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состоялся в </w:t>
      </w:r>
      <w:r>
        <w:rPr>
          <w:sz w:val="28"/>
          <w:szCs w:val="28"/>
        </w:rPr>
        <w:t xml:space="preserve">онлайн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формате</w:t>
      </w:r>
      <w:r>
        <w:rPr>
          <w:sz w:val="28"/>
          <w:szCs w:val="28"/>
        </w:rPr>
        <w:t xml:space="preserve"> 21 сентября. В формате видеоконференции для участников были проведены обучающие лекции на темы: «Актуальные проблемы профсоюзного движения и профсоюзная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жь», «Технология создания первичных профсоюзных организаций и мотивации профсоюзного членства», «Основы системы тр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хсторонних отношений профсоюзов, государства и работодателей и социального партн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 на всех уровнях профсоюзной структуры»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Спикерами выступили:</w:t>
      </w:r>
      <w:r>
        <w:rPr>
          <w:sz w:val="28"/>
          <w:szCs w:val="28"/>
        </w:rPr>
        <w:t xml:space="preserve"> заместитель Председателя ФНПР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Шершуков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заместитель Председателя Дагестанского Республиканского союза объединения профсоюзов Гасанов</w:t>
      </w:r>
      <w:r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, заместитель Председателя Федерации профсоюзов Ставропольского края Сидоренко</w:t>
      </w:r>
      <w:r>
        <w:rPr>
          <w:sz w:val="28"/>
          <w:szCs w:val="28"/>
        </w:rPr>
        <w:t xml:space="preserve"> Д.М.</w:t>
      </w:r>
      <w:r>
        <w:rPr>
          <w:sz w:val="28"/>
          <w:szCs w:val="28"/>
        </w:rPr>
        <w:t xml:space="preserve"> Всего в работе этапа приняли участие 58 активистов из всех территориальных профобъединений округа, кроме Союза «Объединение организаций профсоюзов Республики Ингушетия»</w:t>
      </w:r>
      <w:r>
        <w:rPr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spacing w:lineRule="exact" w:line="360" w:after="0" w:before="0"/>
        <w:rPr>
          <w:sz w:val="28"/>
          <w:szCs w:val="28"/>
        </w:rPr>
      </w:pPr>
      <w:r>
        <w:rPr>
          <w:sz w:val="28"/>
          <w:szCs w:val="28"/>
        </w:rPr>
        <w:t xml:space="preserve">С 22 по 25 сентября 2021 года в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Иркутске очно состоялся окружной этап Сибирского федерального округа. В мероприятии </w:t>
      </w:r>
      <w:r>
        <w:rPr>
          <w:sz w:val="28"/>
          <w:szCs w:val="28"/>
        </w:rPr>
        <w:t xml:space="preserve">принял участие заместитель Председателя ФНПР </w:t>
      </w:r>
      <w:r>
        <w:rPr>
          <w:sz w:val="28"/>
          <w:szCs w:val="28"/>
        </w:rPr>
        <w:t xml:space="preserve">Шершуков</w:t>
      </w:r>
      <w:r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Учебная программа была</w:t>
      </w:r>
      <w:r>
        <w:rPr>
          <w:sz w:val="28"/>
          <w:szCs w:val="28"/>
        </w:rPr>
        <w:t xml:space="preserve"> построена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практическом опыте работы Иркутского областного объед</w:t>
      </w:r>
      <w:r>
        <w:rPr>
          <w:sz w:val="28"/>
          <w:szCs w:val="28"/>
        </w:rPr>
        <w:t xml:space="preserve">инения организаций профсоюзов. </w:t>
      </w:r>
      <w:r>
        <w:rPr>
          <w:sz w:val="28"/>
          <w:szCs w:val="28"/>
        </w:rPr>
        <w:t xml:space="preserve">Кроме обучающей программы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были организованы мероприятия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командообразование. В мероприятии приняли участие активисты </w:t>
      </w:r>
      <w:r>
        <w:rPr>
          <w:sz w:val="28"/>
          <w:szCs w:val="28"/>
          <w:shd w:val="clear" w:fill="FFFFFF" w:color="auto"/>
        </w:rPr>
        <w:t xml:space="preserve">из всех </w:t>
      </w:r>
      <w:r>
        <w:rPr>
          <w:sz w:val="28"/>
          <w:szCs w:val="28"/>
          <w:shd w:val="clear" w:fill="FFFFFF" w:color="auto"/>
        </w:rPr>
        <w:t xml:space="preserve">субъектов округа, за исключением республик Тывы и Хакасии. Общее число участников – 20 человек.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С 23 по </w:t>
      </w:r>
      <w:r>
        <w:rPr>
          <w:sz w:val="28"/>
          <w:szCs w:val="28"/>
        </w:rPr>
        <w:t xml:space="preserve">24 сентября 2021 года во Дворце Труда профсоюзов в режиме </w:t>
      </w:r>
      <w:r>
        <w:rPr>
          <w:sz w:val="28"/>
          <w:szCs w:val="28"/>
        </w:rPr>
        <w:t xml:space="preserve">видеоконференцсвязи</w:t>
      </w:r>
      <w:r>
        <w:rPr>
          <w:sz w:val="28"/>
          <w:szCs w:val="28"/>
        </w:rPr>
        <w:t xml:space="preserve"> состоялся о</w:t>
      </w:r>
      <w:r>
        <w:rPr>
          <w:sz w:val="28"/>
          <w:szCs w:val="28"/>
        </w:rPr>
        <w:t xml:space="preserve">кружной этап для активистов из </w:t>
      </w:r>
      <w:r>
        <w:rPr>
          <w:sz w:val="28"/>
          <w:szCs w:val="28"/>
        </w:rPr>
        <w:t xml:space="preserve">Центрального федерального округа. П</w:t>
      </w:r>
      <w:r>
        <w:rPr>
          <w:sz w:val="28"/>
          <w:szCs w:val="28"/>
        </w:rPr>
        <w:t xml:space="preserve">рограмма мероприятия была ориентирована на разные направления профсоюзной работы, такие как: социально-трудовые отношения, правовые основы проведения коллективных действий профсоюзов, информационная профсоюзная работа в сети Интернет, практика работы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жных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оветов, порядок создания и организационная работа в ППО. Лекторами на семинаре выступили: заместитель руководителя Центра трудовых отношений и социального партн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 </w:t>
      </w:r>
      <w:r>
        <w:rPr>
          <w:sz w:val="28"/>
          <w:szCs w:val="28"/>
        </w:rPr>
        <w:t xml:space="preserve">ИПД </w:t>
      </w:r>
      <w:r>
        <w:rPr>
          <w:sz w:val="28"/>
          <w:szCs w:val="28"/>
        </w:rPr>
        <w:t xml:space="preserve">АТиСО</w:t>
      </w:r>
      <w:r>
        <w:rPr>
          <w:sz w:val="28"/>
          <w:szCs w:val="28"/>
        </w:rPr>
        <w:t xml:space="preserve"> Татарникова</w:t>
      </w:r>
      <w:r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; заместитель руководителя Департамента социально-трудовых отношений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социального партн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 Аппарата ФНПР </w:t>
      </w:r>
      <w:r>
        <w:rPr>
          <w:sz w:val="28"/>
          <w:szCs w:val="28"/>
        </w:rPr>
        <w:t xml:space="preserve">Косаковская</w:t>
      </w:r>
      <w:r>
        <w:rPr>
          <w:sz w:val="28"/>
          <w:szCs w:val="28"/>
        </w:rPr>
        <w:t xml:space="preserve"> Е.И</w:t>
      </w:r>
      <w:r>
        <w:rPr>
          <w:sz w:val="28"/>
          <w:szCs w:val="28"/>
        </w:rPr>
        <w:t xml:space="preserve">.; главный правовой инспектор труда ФНПР </w:t>
      </w:r>
      <w:r>
        <w:rPr>
          <w:sz w:val="28"/>
          <w:szCs w:val="28"/>
        </w:rPr>
        <w:t xml:space="preserve">Пелешенко</w:t>
      </w:r>
      <w:r>
        <w:rPr>
          <w:sz w:val="28"/>
          <w:szCs w:val="28"/>
        </w:rPr>
        <w:t xml:space="preserve"> Ю.И.</w:t>
      </w:r>
      <w:r>
        <w:rPr>
          <w:sz w:val="28"/>
          <w:szCs w:val="28"/>
        </w:rPr>
        <w:t xml:space="preserve">; заместитель главного редактора Ц</w:t>
      </w:r>
      <w:r>
        <w:rPr>
          <w:sz w:val="28"/>
          <w:szCs w:val="28"/>
        </w:rPr>
        <w:t xml:space="preserve">ентральной профсоюзной газеты</w:t>
      </w:r>
      <w:r>
        <w:rPr>
          <w:sz w:val="28"/>
          <w:szCs w:val="28"/>
        </w:rPr>
        <w:t xml:space="preserve"> «Солидарность» </w:t>
      </w:r>
      <w:r>
        <w:rPr>
          <w:sz w:val="28"/>
          <w:szCs w:val="28"/>
        </w:rPr>
        <w:t xml:space="preserve">Кляшторин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председатель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жного совета Ассоциации ТООП ЦФО, председатель М</w:t>
      </w:r>
      <w:r>
        <w:rPr>
          <w:sz w:val="28"/>
          <w:szCs w:val="28"/>
        </w:rPr>
        <w:t xml:space="preserve">олодёжного совета </w:t>
      </w:r>
      <w:r>
        <w:rPr>
          <w:sz w:val="28"/>
          <w:szCs w:val="28"/>
        </w:rPr>
        <w:t xml:space="preserve">ФНПР </w:t>
      </w:r>
      <w:r>
        <w:rPr>
          <w:sz w:val="28"/>
          <w:szCs w:val="28"/>
        </w:rPr>
        <w:t xml:space="preserve">Ветчинников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; заместитель Председателя ФНПР </w:t>
      </w:r>
      <w:r>
        <w:rPr>
          <w:sz w:val="28"/>
          <w:szCs w:val="28"/>
        </w:rPr>
        <w:t xml:space="preserve">Шершуков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На обучающий семинар были приглашены не только участники, допущенные до окружного этапа «Стратрезерва», но и участники проекта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из других округов, не сумевшие принять участие в очных мероприятиях, а также все желающие профсоюзные активисты ЦФО.</w:t>
      </w:r>
      <w:r>
        <w:rPr>
          <w:sz w:val="28"/>
          <w:szCs w:val="28"/>
        </w:rPr>
        <w:t xml:space="preserve"> Всего в семинаре приня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участие более 100 человек. </w:t>
      </w:r>
      <w:r/>
    </w:p>
    <w:p>
      <w:pPr>
        <w:ind w:firstLine="709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  <w:shd w:val="clear" w:fill="FFFFFF" w:color="auto"/>
        </w:rPr>
        <w:t xml:space="preserve">С 23 по 26 сентября </w:t>
      </w:r>
      <w:r>
        <w:rPr>
          <w:sz w:val="28"/>
          <w:szCs w:val="28"/>
          <w:shd w:val="clear" w:fill="FFFFFF" w:color="auto"/>
        </w:rPr>
        <w:t xml:space="preserve">2021 года </w:t>
      </w:r>
      <w:r>
        <w:rPr>
          <w:sz w:val="28"/>
          <w:szCs w:val="28"/>
          <w:shd w:val="clear" w:fill="FFFFFF" w:color="auto"/>
        </w:rPr>
        <w:t xml:space="preserve">в </w:t>
      </w:r>
      <w:r>
        <w:rPr>
          <w:sz w:val="28"/>
          <w:szCs w:val="28"/>
          <w:shd w:val="clear" w:fill="FFFFFF" w:color="auto"/>
        </w:rPr>
        <w:t xml:space="preserve">г</w:t>
      </w:r>
      <w:r>
        <w:rPr>
          <w:sz w:val="28"/>
          <w:szCs w:val="28"/>
          <w:shd w:val="clear" w:fill="FFFFFF" w:color="auto"/>
        </w:rPr>
        <w:t xml:space="preserve">. </w:t>
      </w:r>
      <w:r>
        <w:rPr>
          <w:sz w:val="28"/>
          <w:szCs w:val="28"/>
          <w:shd w:val="clear" w:fill="FFFFFF" w:color="auto"/>
        </w:rPr>
        <w:t xml:space="preserve">Перми в </w:t>
      </w:r>
      <w:r>
        <w:rPr>
          <w:sz w:val="28"/>
          <w:szCs w:val="28"/>
        </w:rPr>
        <w:t xml:space="preserve">Региональном учебном центре профсоюзов состоялся окружной этап «Стратегического резерва 2021»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Приволжском федеральном округе, на котором присутствовали порядка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100 молодых профсоюзных активистов. В рамках окружного этапа участники изучали технологии нетворкинга, приняли участие в </w:t>
      </w:r>
      <w:r>
        <w:rPr>
          <w:sz w:val="28"/>
          <w:szCs w:val="28"/>
        </w:rPr>
        <w:t xml:space="preserve">кейс-игре</w:t>
      </w:r>
      <w:r>
        <w:rPr>
          <w:sz w:val="28"/>
          <w:szCs w:val="28"/>
        </w:rPr>
        <w:t xml:space="preserve"> «Технология создания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прослушали лекции об эффективных коммуникациях в системе организационного укрепления, о современных информационных ресурсах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их применени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 В мероприятии приняли участие представители территориальных профобъединений всех субъектов округа.</w:t>
      </w:r>
      <w:r/>
    </w:p>
    <w:p>
      <w:pPr>
        <w:ind w:firstLine="709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r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на базе учебно-методического центра профсоюзов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Челябинске состоялся окружной этап «Стратегического резерва 2021» Уральского федерального округа. На мероприятиях этапа присутствовали: заместитель Председателя ФНПР </w:t>
      </w:r>
      <w:r>
        <w:rPr>
          <w:sz w:val="28"/>
          <w:szCs w:val="28"/>
        </w:rPr>
        <w:t xml:space="preserve">Шершуков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секретарь ФНПР -</w:t>
      </w:r>
      <w:r>
        <w:rPr>
          <w:sz w:val="28"/>
          <w:szCs w:val="28"/>
        </w:rPr>
        <w:t xml:space="preserve">  представитель ФНПР в УФО </w:t>
      </w:r>
      <w:r>
        <w:rPr>
          <w:sz w:val="28"/>
          <w:szCs w:val="28"/>
        </w:rPr>
        <w:t xml:space="preserve">Перфилова</w:t>
      </w:r>
      <w:r>
        <w:rPr>
          <w:sz w:val="28"/>
          <w:szCs w:val="28"/>
        </w:rPr>
        <w:t xml:space="preserve"> И.Ю.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заместитель председателя Федерации п</w:t>
      </w:r>
      <w:r>
        <w:rPr>
          <w:sz w:val="28"/>
          <w:szCs w:val="28"/>
        </w:rPr>
        <w:t xml:space="preserve">рофсоюзов Свердловской области </w:t>
      </w:r>
      <w:r>
        <w:rPr>
          <w:sz w:val="28"/>
          <w:szCs w:val="28"/>
        </w:rPr>
        <w:t xml:space="preserve">Киселёв</w:t>
      </w:r>
      <w:r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В рамках панельной дискуссии «Труд молодёжи в XXI веке: вызовы и возможности» участники смогли обсудить с экспертами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руководителями региональных профобъединений, объединени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работодателей, </w:t>
      </w:r>
      <w:r>
        <w:rPr>
          <w:sz w:val="28"/>
          <w:szCs w:val="28"/>
        </w:rPr>
        <w:t xml:space="preserve">региональной службы занятости населения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опросы, волнующие молодёжь. Всего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приняли участие                                    20 </w:t>
      </w:r>
      <w:r>
        <w:rPr>
          <w:sz w:val="28"/>
          <w:szCs w:val="28"/>
        </w:rPr>
        <w:t xml:space="preserve">профактивисто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из всех территориальных объединений организаций профсоюзов округа, кроме Объединения организаций профсоюзов Ханты-Мансийского автономного округа – Югры.</w:t>
      </w:r>
      <w:r/>
    </w:p>
    <w:p>
      <w:pPr>
        <w:ind w:firstLine="709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Окружной этап «Стратегического резерва» в Южном федеральном округе состоялся в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Сочи с 26 по 29 сентября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Спикерами </w:t>
      </w:r>
      <w:r>
        <w:rPr>
          <w:sz w:val="28"/>
          <w:szCs w:val="28"/>
        </w:rPr>
        <w:t xml:space="preserve">этапа выступили: заместитель Председателя ФНПР </w:t>
      </w:r>
      <w:r>
        <w:rPr>
          <w:sz w:val="28"/>
          <w:szCs w:val="28"/>
        </w:rPr>
        <w:t xml:space="preserve">Шершуков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секретарь ФНПР – представитель ФНПР в ЮФО Чуйков</w:t>
      </w:r>
      <w:r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заместитель председателя Краснодарского краевого профобъединения Черкашина</w:t>
      </w:r>
      <w:r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, руководитель Центра поддержки деятельности некоммерческих организаций и гражданских инициатив Астраханской области </w:t>
      </w:r>
      <w:r>
        <w:rPr>
          <w:sz w:val="28"/>
          <w:szCs w:val="28"/>
        </w:rPr>
        <w:t xml:space="preserve">Миретина</w:t>
      </w:r>
      <w:r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заместитель главного редактора 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ентральной профсоюзной г</w:t>
      </w:r>
      <w:r>
        <w:rPr>
          <w:sz w:val="28"/>
          <w:szCs w:val="28"/>
        </w:rPr>
        <w:t xml:space="preserve">азеты </w:t>
      </w:r>
      <w:r>
        <w:rPr>
          <w:sz w:val="28"/>
          <w:szCs w:val="28"/>
        </w:rPr>
        <w:t xml:space="preserve">«Солидарность» </w:t>
      </w:r>
      <w:r>
        <w:rPr>
          <w:sz w:val="28"/>
          <w:szCs w:val="28"/>
        </w:rPr>
        <w:t xml:space="preserve">Кляшторин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органайзер </w:t>
      </w:r>
      <w:r>
        <w:rPr>
          <w:sz w:val="28"/>
          <w:szCs w:val="28"/>
        </w:rPr>
        <w:t xml:space="preserve">Рослеспрофсоюза</w:t>
      </w:r>
      <w:r>
        <w:rPr>
          <w:sz w:val="28"/>
          <w:szCs w:val="28"/>
        </w:rPr>
        <w:t xml:space="preserve"> Илларионов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мероприятии приняли участие представители</w:t>
      </w:r>
      <w:r>
        <w:rPr>
          <w:sz w:val="28"/>
          <w:szCs w:val="28"/>
        </w:rPr>
        <w:t xml:space="preserve"> всех территориальных объединений организаций профсоюзов округа, кроме Федерации профсоюзов Калмыкии и Севастопольского объединения организаций профсоюзов. Общее число участников этапа –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19 человек.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  <w:shd w:val="clear" w:fill="FFFFFF" w:color="auto"/>
        </w:rPr>
        <w:t xml:space="preserve">По итогам окружных этапов 107 участников были приглашены </w:t>
      </w:r>
      <w:r>
        <w:rPr>
          <w:sz w:val="28"/>
          <w:szCs w:val="28"/>
          <w:shd w:val="clear" w:fill="FFFFFF" w:color="auto"/>
        </w:rPr>
        <w:t xml:space="preserve">                          </w:t>
      </w:r>
      <w:r>
        <w:rPr>
          <w:sz w:val="28"/>
          <w:szCs w:val="28"/>
          <w:shd w:val="clear" w:fill="FFFFFF" w:color="auto"/>
        </w:rPr>
        <w:t xml:space="preserve">на тестирование и последующее конкурсное испытание. После рассмотрения конкурсных работ участников </w:t>
      </w:r>
      <w:r>
        <w:rPr>
          <w:sz w:val="28"/>
          <w:szCs w:val="28"/>
        </w:rPr>
        <w:t xml:space="preserve">I ступени</w:t>
      </w:r>
      <w:r>
        <w:rPr>
          <w:sz w:val="28"/>
          <w:szCs w:val="28"/>
          <w:shd w:val="clear" w:fill="FFFFFF" w:color="auto"/>
        </w:rPr>
        <w:t xml:space="preserve"> программы </w:t>
      </w:r>
      <w:r>
        <w:rPr>
          <w:sz w:val="28"/>
          <w:szCs w:val="28"/>
          <w:shd w:val="clear" w:fill="FFFFFF" w:color="auto"/>
        </w:rPr>
        <w:t xml:space="preserve">о</w:t>
      </w:r>
      <w:r>
        <w:rPr>
          <w:sz w:val="28"/>
          <w:szCs w:val="28"/>
          <w:shd w:val="clear" w:fill="FFFFFF" w:color="auto"/>
        </w:rPr>
        <w:t xml:space="preserve">ргкомитет определил </w:t>
      </w:r>
      <w:r>
        <w:rPr>
          <w:sz w:val="28"/>
          <w:szCs w:val="28"/>
          <w:shd w:val="clear" w:fill="FFFFFF" w:color="auto"/>
        </w:rPr>
        <w:t xml:space="preserve">          </w:t>
      </w:r>
      <w:r>
        <w:rPr>
          <w:sz w:val="28"/>
          <w:szCs w:val="28"/>
          <w:shd w:val="clear" w:fill="FFFFFF" w:color="auto"/>
        </w:rPr>
        <w:t xml:space="preserve">74 активиста, которые были приглашены на финальное мероприятие.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Параллельно с мероприятиями I ступени впервые были организованы специальные мероприятия для финалистов «Стратегического резерва»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2018 - 2020 г</w:t>
      </w:r>
      <w:r>
        <w:rPr>
          <w:sz w:val="28"/>
          <w:szCs w:val="28"/>
        </w:rPr>
        <w:t xml:space="preserve">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Им было предложено выбрать одно или несколько направлений для стажировки. За каждым направлением были закреплены кураторы из чис</w:t>
      </w:r>
      <w:r>
        <w:rPr>
          <w:sz w:val="28"/>
          <w:szCs w:val="28"/>
        </w:rPr>
        <w:t xml:space="preserve">ла </w:t>
      </w:r>
      <w:r>
        <w:rPr>
          <w:sz w:val="28"/>
          <w:szCs w:val="28"/>
        </w:rPr>
        <w:t xml:space="preserve">профактивистов</w:t>
      </w:r>
      <w:r>
        <w:rPr>
          <w:sz w:val="28"/>
          <w:szCs w:val="28"/>
        </w:rPr>
        <w:t xml:space="preserve"> и наставники </w:t>
      </w:r>
      <w:r>
        <w:rPr>
          <w:sz w:val="28"/>
          <w:szCs w:val="28"/>
        </w:rPr>
        <w:t xml:space="preserve">из числа руководителей и специалистов ФНПР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е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 членских организаций. Всего согласились принять участие в стажировках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shd w:val="clear" w:fill="FFFFFF" w:color="auto"/>
        </w:rPr>
        <w:t xml:space="preserve">114 активистов, 46 из них </w:t>
      </w:r>
      <w:r>
        <w:rPr>
          <w:sz w:val="28"/>
          <w:szCs w:val="28"/>
          <w:shd w:val="clear" w:fill="FFFFFF" w:color="auto"/>
        </w:rPr>
        <w:t xml:space="preserve">справились</w:t>
      </w:r>
      <w:r>
        <w:rPr>
          <w:sz w:val="28"/>
          <w:szCs w:val="28"/>
          <w:shd w:val="clear" w:fill="FFFFFF" w:color="auto"/>
        </w:rPr>
        <w:t xml:space="preserve">,</w:t>
      </w:r>
      <w:r>
        <w:rPr>
          <w:sz w:val="28"/>
          <w:szCs w:val="28"/>
          <w:shd w:val="clear" w:fill="FFFFFF" w:color="auto"/>
        </w:rPr>
        <w:t xml:space="preserve"> по мнению наставников</w:t>
      </w:r>
      <w:r>
        <w:rPr>
          <w:sz w:val="28"/>
          <w:szCs w:val="28"/>
          <w:shd w:val="clear" w:fill="FFFFFF" w:color="auto"/>
        </w:rPr>
        <w:t xml:space="preserve">,</w:t>
      </w:r>
      <w:r>
        <w:rPr>
          <w:sz w:val="28"/>
          <w:szCs w:val="28"/>
          <w:shd w:val="clear" w:fill="FFFFFF" w:color="auto"/>
        </w:rPr>
        <w:t xml:space="preserve"> с программой</w:t>
      </w:r>
      <w:r>
        <w:rPr>
          <w:sz w:val="28"/>
          <w:szCs w:val="28"/>
          <w:shd w:val="clear" w:fill="FFFFFF" w:color="auto"/>
        </w:rPr>
        <w:t xml:space="preserve">        </w:t>
      </w:r>
      <w:r>
        <w:rPr>
          <w:sz w:val="28"/>
          <w:szCs w:val="28"/>
          <w:shd w:val="clear" w:fill="FFFFFF" w:color="auto"/>
        </w:rPr>
        <w:t xml:space="preserve"> и получили приглашение на финал, а 34 показали в ходе стажировки выдающиеся результаты. Опыт организации стажировок всеми участниками программы признан успешным и рекомендован к дальнейшему проведению.</w:t>
      </w:r>
      <w:r/>
    </w:p>
    <w:p>
      <w:pPr>
        <w:ind w:firstLine="709"/>
        <w:jc w:val="both"/>
        <w:spacing w:lineRule="exact" w:line="360"/>
        <w:rPr>
          <w:bCs/>
          <w:sz w:val="28"/>
          <w:szCs w:val="28"/>
          <w:shd w:val="clear" w:fill="FFFFFF" w:color="auto"/>
        </w:rPr>
      </w:pPr>
      <w:r>
        <w:rPr>
          <w:sz w:val="28"/>
          <w:szCs w:val="28"/>
          <w:shd w:val="clear" w:fill="FFFFFF" w:color="auto"/>
        </w:rPr>
        <w:t xml:space="preserve">В результате к декабрю 2021</w:t>
      </w:r>
      <w:r>
        <w:rPr>
          <w:sz w:val="28"/>
          <w:szCs w:val="28"/>
          <w:shd w:val="clear" w:fill="FFFFFF" w:color="auto"/>
        </w:rPr>
        <w:t xml:space="preserve"> </w:t>
      </w:r>
      <w:r>
        <w:rPr>
          <w:sz w:val="28"/>
          <w:szCs w:val="28"/>
          <w:shd w:val="clear" w:fill="FFFFFF" w:color="auto"/>
        </w:rPr>
        <w:t xml:space="preserve">г</w:t>
      </w:r>
      <w:r>
        <w:rPr>
          <w:sz w:val="28"/>
          <w:szCs w:val="28"/>
          <w:shd w:val="clear" w:fill="FFFFFF" w:color="auto"/>
        </w:rPr>
        <w:t xml:space="preserve">ода</w:t>
      </w:r>
      <w:r>
        <w:rPr>
          <w:sz w:val="28"/>
          <w:szCs w:val="28"/>
          <w:shd w:val="clear" w:fill="FFFFFF" w:color="auto"/>
        </w:rPr>
        <w:t xml:space="preserve"> все мероприятия обоих ступеней программы удалось реализовать, включая очный формат проведения финального этапа, который </w:t>
      </w:r>
      <w:r>
        <w:rPr>
          <w:bCs/>
          <w:sz w:val="28"/>
          <w:szCs w:val="28"/>
          <w:shd w:val="clear" w:fill="FFFFFF" w:color="auto"/>
        </w:rPr>
        <w:t xml:space="preserve">состоялся 15 </w:t>
      </w:r>
      <w:r>
        <w:rPr>
          <w:bCs/>
          <w:sz w:val="28"/>
          <w:szCs w:val="28"/>
          <w:shd w:val="clear" w:fill="FFFFFF" w:color="auto"/>
        </w:rPr>
        <w:t xml:space="preserve">-</w:t>
      </w:r>
      <w:r>
        <w:rPr>
          <w:bCs/>
          <w:sz w:val="28"/>
          <w:szCs w:val="28"/>
          <w:shd w:val="clear" w:fill="FFFFFF" w:color="auto"/>
        </w:rPr>
        <w:t xml:space="preserve"> 19 декабря 2021 г. в г</w:t>
      </w:r>
      <w:r>
        <w:rPr>
          <w:bCs/>
          <w:sz w:val="28"/>
          <w:szCs w:val="28"/>
          <w:shd w:val="clear" w:fill="FFFFFF" w:color="auto"/>
        </w:rPr>
        <w:t xml:space="preserve">.</w:t>
      </w:r>
      <w:r>
        <w:rPr>
          <w:bCs/>
          <w:sz w:val="28"/>
          <w:szCs w:val="28"/>
          <w:shd w:val="clear" w:fill="FFFFFF" w:color="auto"/>
        </w:rPr>
        <w:t xml:space="preserve"> Казани. Более 170 молодых профсоюзных лидеров</w:t>
      </w:r>
      <w:r>
        <w:rPr>
          <w:bCs/>
          <w:sz w:val="28"/>
          <w:szCs w:val="28"/>
          <w:shd w:val="clear" w:fill="FFFFFF" w:color="auto"/>
        </w:rPr>
        <w:t xml:space="preserve">,</w:t>
      </w:r>
      <w:r>
        <w:rPr>
          <w:bCs/>
          <w:sz w:val="28"/>
          <w:szCs w:val="28"/>
          <w:shd w:val="clear" w:fill="FFFFFF" w:color="auto"/>
        </w:rPr>
        <w:t xml:space="preserve"> прошедших все этапы </w:t>
      </w:r>
      <w:r>
        <w:rPr>
          <w:bCs/>
          <w:sz w:val="28"/>
          <w:szCs w:val="28"/>
          <w:shd w:val="clear" w:fill="FFFFFF" w:color="auto"/>
          <w:lang w:val="en-US"/>
        </w:rPr>
        <w:t xml:space="preserve">I</w:t>
      </w:r>
      <w:r>
        <w:rPr>
          <w:bCs/>
          <w:sz w:val="28"/>
          <w:szCs w:val="28"/>
          <w:shd w:val="clear" w:fill="FFFFFF" w:color="auto"/>
        </w:rPr>
        <w:t xml:space="preserve"> ступени</w:t>
      </w:r>
      <w:r>
        <w:rPr>
          <w:bCs/>
          <w:sz w:val="28"/>
          <w:szCs w:val="28"/>
          <w:shd w:val="clear" w:fill="FFFFFF" w:color="auto"/>
        </w:rPr>
        <w:t xml:space="preserve">,</w:t>
      </w:r>
      <w:r>
        <w:rPr>
          <w:bCs/>
          <w:sz w:val="28"/>
          <w:szCs w:val="28"/>
          <w:shd w:val="clear" w:fill="FFFFFF" w:color="auto"/>
        </w:rPr>
        <w:t xml:space="preserve"> и успешно прошедши</w:t>
      </w:r>
      <w:r>
        <w:rPr>
          <w:bCs/>
          <w:sz w:val="28"/>
          <w:szCs w:val="28"/>
          <w:shd w:val="clear" w:fill="FFFFFF" w:color="auto"/>
        </w:rPr>
        <w:t xml:space="preserve">е</w:t>
      </w:r>
      <w:r>
        <w:rPr>
          <w:bCs/>
          <w:sz w:val="28"/>
          <w:szCs w:val="28"/>
          <w:shd w:val="clear" w:fill="FFFFFF" w:color="auto"/>
        </w:rPr>
        <w:t xml:space="preserve"> стажировку участник</w:t>
      </w:r>
      <w:r>
        <w:rPr>
          <w:bCs/>
          <w:sz w:val="28"/>
          <w:szCs w:val="28"/>
          <w:shd w:val="clear" w:fill="FFFFFF" w:color="auto"/>
        </w:rPr>
        <w:t xml:space="preserve">и</w:t>
      </w:r>
      <w:r>
        <w:rPr>
          <w:bCs/>
          <w:sz w:val="28"/>
          <w:szCs w:val="28"/>
          <w:shd w:val="clear" w:fill="FFFFFF" w:color="auto"/>
        </w:rPr>
        <w:t xml:space="preserve"> </w:t>
      </w:r>
      <w:r>
        <w:rPr>
          <w:bCs/>
          <w:sz w:val="28"/>
          <w:szCs w:val="28"/>
          <w:shd w:val="clear" w:fill="FFFFFF" w:color="auto"/>
          <w:lang w:val="en-US"/>
        </w:rPr>
        <w:t xml:space="preserve">II</w:t>
      </w:r>
      <w:r>
        <w:rPr>
          <w:bCs/>
          <w:sz w:val="28"/>
          <w:szCs w:val="28"/>
          <w:shd w:val="clear" w:fill="FFFFFF" w:color="auto"/>
        </w:rPr>
        <w:t xml:space="preserve"> ступени, а также </w:t>
      </w:r>
      <w:r>
        <w:rPr>
          <w:bCs/>
          <w:sz w:val="28"/>
          <w:szCs w:val="28"/>
          <w:shd w:val="clear" w:fill="FFFFFF" w:color="auto"/>
        </w:rPr>
        <w:t xml:space="preserve">участники, приглаш</w:t>
      </w:r>
      <w:r>
        <w:rPr>
          <w:bCs/>
          <w:sz w:val="28"/>
          <w:szCs w:val="28"/>
          <w:shd w:val="clear" w:fill="FFFFFF" w:color="auto"/>
        </w:rPr>
        <w:t xml:space="preserve">ё</w:t>
      </w:r>
      <w:r>
        <w:rPr>
          <w:bCs/>
          <w:sz w:val="28"/>
          <w:szCs w:val="28"/>
          <w:shd w:val="clear" w:fill="FFFFFF" w:color="auto"/>
        </w:rPr>
        <w:t xml:space="preserve">нные по квотам для членских организаций ФНПР, собрались, чтобы обсудить с руководством ФНПР </w:t>
      </w:r>
      <w:r>
        <w:rPr>
          <w:sz w:val="28"/>
          <w:szCs w:val="28"/>
        </w:rPr>
        <w:t xml:space="preserve">вызовы, </w:t>
      </w:r>
      <w:r>
        <w:rPr>
          <w:bCs/>
          <w:sz w:val="28"/>
          <w:szCs w:val="28"/>
          <w:shd w:val="clear" w:fill="FFFFFF" w:color="auto"/>
        </w:rPr>
        <w:t xml:space="preserve">стоящие перед профсоюзным движением России, предложить свои идеи по их решению, рассмотреть тренды молодёжной политики ФНПР.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fill="FFFFFF" w:color="auto"/>
        </w:rPr>
        <w:t xml:space="preserve">Участники в командах под руководством модераторов - экспертов </w:t>
      </w:r>
      <w:r>
        <w:rPr>
          <w:bCs/>
          <w:sz w:val="28"/>
          <w:szCs w:val="28"/>
          <w:shd w:val="clear" w:fill="FFFFFF" w:color="auto"/>
        </w:rPr>
        <w:t xml:space="preserve">                                 </w:t>
      </w:r>
      <w:r>
        <w:rPr>
          <w:bCs/>
          <w:sz w:val="28"/>
          <w:szCs w:val="28"/>
          <w:shd w:val="clear" w:fill="FFFFFF" w:color="auto"/>
        </w:rPr>
        <w:t xml:space="preserve">из профсоюзной среды и </w:t>
      </w:r>
      <w:r>
        <w:rPr>
          <w:bCs/>
          <w:sz w:val="28"/>
          <w:szCs w:val="28"/>
          <w:shd w:val="clear" w:fill="FFFFFF" w:color="auto"/>
        </w:rPr>
        <w:t xml:space="preserve">выпускников</w:t>
      </w:r>
      <w:r>
        <w:rPr>
          <w:bCs/>
          <w:sz w:val="28"/>
          <w:szCs w:val="28"/>
          <w:shd w:val="clear" w:fill="FFFFFF" w:color="auto"/>
        </w:rPr>
        <w:t xml:space="preserve"> предыдущих Стратрезервов - занимались подготовкой проектов. Им было предложено предс</w:t>
      </w:r>
      <w:r>
        <w:rPr>
          <w:bCs/>
          <w:sz w:val="28"/>
          <w:szCs w:val="28"/>
          <w:shd w:val="clear" w:fill="FFFFFF" w:color="auto"/>
        </w:rPr>
        <w:t xml:space="preserve">тавить идеальный образ профсоюзов в будущем, определить идеи, направление и ресурсы для достижения этого образа. Также они посетили тренинги по актуальным для профдвижения темам, в том числе социальное проектирование, дизайн-мышление, мобильная фотография.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fill="FFFFFF" w:color="auto"/>
        </w:rPr>
        <w:t xml:space="preserve">Проекты, разработанные на финальном этапе программы 2021 г.</w:t>
      </w:r>
      <w:r>
        <w:rPr>
          <w:bCs/>
          <w:sz w:val="28"/>
          <w:szCs w:val="28"/>
          <w:shd w:val="clear" w:fill="FFFFFF" w:color="auto"/>
        </w:rPr>
        <w:t xml:space="preserve">,</w:t>
      </w:r>
      <w:r>
        <w:rPr>
          <w:bCs/>
          <w:sz w:val="28"/>
          <w:szCs w:val="28"/>
          <w:shd w:val="clear" w:fill="FFFFFF" w:color="auto"/>
        </w:rPr>
        <w:t xml:space="preserve"> будут предложены в качестве стажировок в программу «</w:t>
      </w:r>
      <w:r>
        <w:rPr>
          <w:bCs/>
          <w:sz w:val="28"/>
          <w:szCs w:val="28"/>
          <w:shd w:val="clear" w:fill="FFFFFF" w:color="auto"/>
        </w:rPr>
        <w:t xml:space="preserve">Стратрезерва</w:t>
      </w:r>
      <w:r>
        <w:rPr>
          <w:bCs/>
          <w:sz w:val="28"/>
          <w:szCs w:val="28"/>
          <w:shd w:val="clear" w:fill="FFFFFF" w:color="auto"/>
        </w:rPr>
        <w:t xml:space="preserve">» </w:t>
      </w:r>
      <w:r>
        <w:rPr>
          <w:bCs/>
          <w:sz w:val="28"/>
          <w:szCs w:val="28"/>
          <w:shd w:val="clear" w:fill="FFFFFF" w:color="auto"/>
        </w:rPr>
        <w:t xml:space="preserve">                  </w:t>
      </w:r>
      <w:r>
        <w:rPr>
          <w:bCs/>
          <w:sz w:val="28"/>
          <w:szCs w:val="28"/>
          <w:shd w:val="clear" w:fill="FFFFFF" w:color="auto"/>
        </w:rPr>
        <w:t xml:space="preserve">в 2022 г</w:t>
      </w:r>
      <w:r>
        <w:rPr>
          <w:bCs/>
          <w:sz w:val="28"/>
          <w:szCs w:val="28"/>
          <w:shd w:val="clear" w:fill="FFFFFF" w:color="auto"/>
        </w:rPr>
        <w:t xml:space="preserve">оду</w:t>
      </w:r>
      <w:r>
        <w:rPr>
          <w:bCs/>
          <w:sz w:val="28"/>
          <w:szCs w:val="28"/>
          <w:shd w:val="clear" w:fill="FFFFFF" w:color="auto"/>
        </w:rPr>
        <w:t xml:space="preserve">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bCs/>
          <w:sz w:val="28"/>
          <w:szCs w:val="28"/>
          <w:shd w:val="clear" w:fill="FFFFFF" w:color="auto"/>
        </w:rPr>
        <w:t xml:space="preserve">В программе не приняли участие:</w:t>
      </w:r>
      <w:r>
        <w:rPr>
          <w:sz w:val="28"/>
          <w:szCs w:val="28"/>
        </w:rPr>
        <w:t xml:space="preserve"> Региональный союз организаций профсоюзов «Федерация  профсоюзов Еврейской автономной области», Региональный союз «Владимирское областное объединение организаций профессиональных союзов», Союз организаций профсоюзов «Фе</w:t>
      </w:r>
      <w:r>
        <w:rPr>
          <w:sz w:val="28"/>
          <w:szCs w:val="28"/>
        </w:rPr>
        <w:t xml:space="preserve">дерация профсоюзов Республики Тыва», </w:t>
      </w:r>
      <w:r>
        <w:rPr>
          <w:sz w:val="28"/>
          <w:szCs w:val="28"/>
        </w:rPr>
        <w:t xml:space="preserve">Союз «Севастопольское объединение организаций профсоюзов», Российский профсоюз работников рыбного хозяйства, Профсоюз адвокатов России, Общероссийский профсоюз военнослужащих, Профессиональный союз работников органов безопасности Российской Федерации. 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программе приняли</w:t>
      </w:r>
      <w:r>
        <w:rPr>
          <w:sz w:val="28"/>
          <w:szCs w:val="28"/>
        </w:rPr>
        <w:t xml:space="preserve"> участие по 1-2 представителя </w:t>
      </w:r>
      <w:r>
        <w:rPr>
          <w:sz w:val="28"/>
          <w:szCs w:val="28"/>
        </w:rPr>
        <w:t xml:space="preserve">от следующих членских организаций ФНПР: </w:t>
      </w:r>
      <w:r>
        <w:rPr>
          <w:sz w:val="28"/>
          <w:szCs w:val="28"/>
        </w:rPr>
        <w:t xml:space="preserve">Магаданс</w:t>
      </w:r>
      <w:r>
        <w:rPr>
          <w:sz w:val="28"/>
          <w:szCs w:val="28"/>
        </w:rPr>
        <w:t xml:space="preserve">кий областной союз организаций </w:t>
      </w:r>
      <w:r>
        <w:rPr>
          <w:sz w:val="28"/>
          <w:szCs w:val="28"/>
        </w:rPr>
        <w:t xml:space="preserve">профсоюзов, Удмуртский республиканский союз организаций профсоюзов «Федерация профсоюзов Удмуртской Республики», Союз «Объединение организаций профсоюзов Республики Ингушетия», Костромской областной союз «Федерация орган</w:t>
      </w:r>
      <w:r>
        <w:rPr>
          <w:sz w:val="28"/>
          <w:szCs w:val="28"/>
        </w:rPr>
        <w:t xml:space="preserve">изац</w:t>
      </w:r>
      <w:r>
        <w:rPr>
          <w:sz w:val="28"/>
          <w:szCs w:val="28"/>
        </w:rPr>
        <w:t xml:space="preserve">ий профсоюзов</w:t>
      </w:r>
      <w:r>
        <w:rPr>
          <w:sz w:val="28"/>
          <w:szCs w:val="28"/>
        </w:rPr>
        <w:t xml:space="preserve"> Костромской </w:t>
      </w:r>
      <w:r>
        <w:rPr>
          <w:sz w:val="28"/>
          <w:szCs w:val="28"/>
        </w:rPr>
        <w:t xml:space="preserve">области», Тульский областной союз организаций профсоюзов «Тульская Федерация профсоюзов», Общероссийский профсоюз работников природноресурсного комплекса Российской Федерации, Межрегиональный профессиональный союз работников пищ</w:t>
      </w:r>
      <w:r>
        <w:rPr>
          <w:sz w:val="28"/>
          <w:szCs w:val="28"/>
        </w:rPr>
        <w:t xml:space="preserve">евых, перерабатывающих отраслей</w:t>
      </w:r>
      <w:r>
        <w:rPr>
          <w:sz w:val="28"/>
          <w:szCs w:val="28"/>
        </w:rPr>
        <w:t xml:space="preserve"> и смежных видов экономической деятельности Российской Федерации, Общероссийский профессиональный союз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потребительской кооперации и предпринимательства, Российский профсоюз работников среднего и малого бизнеса, Камчатский краевой союз организаций проф</w:t>
      </w:r>
      <w:r>
        <w:rPr>
          <w:sz w:val="28"/>
          <w:szCs w:val="28"/>
        </w:rPr>
        <w:t xml:space="preserve">союзов «Федерация  профсоюзов </w:t>
      </w:r>
      <w:r>
        <w:rPr>
          <w:sz w:val="28"/>
          <w:szCs w:val="28"/>
        </w:rPr>
        <w:t xml:space="preserve">Камчатки», Адыгейский республиканский союз организаций профсоюзов «Федерация профсоюзов Республики Адыгея», Союз организаций профсоюзов Ямало-Ненецкого автономного округа, Профсоюз работников торговли, общественного питания, потребительской кооперации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 предпринимательства Российской Федерации «Торговое Единство», Российский профсоюз работников инновационных и малых предприятий, Профсоюз работников водного транспорта Российской</w:t>
      </w:r>
      <w:r>
        <w:rPr>
          <w:sz w:val="28"/>
          <w:szCs w:val="28"/>
        </w:rPr>
        <w:t xml:space="preserve"> Федерации, Российский профсоюз работников судостроения. Такая степень вовлеч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нности в реализацию программы «Стратегический резерв» вышеперечисленных организаций свидетельствует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 недостаточном внимании со стороны выборных органов к реализации молодёжной политики в данных организациях. </w:t>
      </w:r>
      <w:r/>
    </w:p>
    <w:p>
      <w:pPr>
        <w:ind w:firstLine="709"/>
        <w:jc w:val="both"/>
        <w:spacing w:lineRule="exact" w:line="360"/>
        <w:rPr>
          <w:bCs/>
          <w:sz w:val="28"/>
          <w:szCs w:val="28"/>
          <w:shd w:val="clear" w:fill="FFFFFF" w:color="auto"/>
        </w:rPr>
      </w:pPr>
      <w:r>
        <w:rPr>
          <w:bCs/>
          <w:sz w:val="28"/>
          <w:szCs w:val="28"/>
          <w:shd w:val="clear" w:fill="FFFFFF" w:color="auto"/>
        </w:rPr>
        <w:t xml:space="preserve">По итогам Всероссийской молодёжной профсоюзной программы ФНПР «Стратегический резерв 2021» 34 финалист</w:t>
      </w:r>
      <w:r>
        <w:rPr>
          <w:bCs/>
          <w:sz w:val="28"/>
          <w:szCs w:val="28"/>
          <w:shd w:val="clear" w:fill="FFFFFF" w:color="auto"/>
        </w:rPr>
        <w:t xml:space="preserve">а</w:t>
      </w:r>
      <w:r>
        <w:rPr>
          <w:bCs/>
          <w:sz w:val="28"/>
          <w:szCs w:val="28"/>
          <w:shd w:val="clear" w:fill="FFFFFF" w:color="auto"/>
        </w:rPr>
        <w:t xml:space="preserve"> II ступени рекомендованы Исполкомом ФНПР к рассмотрению членскими организациями ФНПР </w:t>
      </w:r>
      <w:r>
        <w:rPr>
          <w:bCs/>
          <w:sz w:val="28"/>
          <w:szCs w:val="28"/>
          <w:shd w:val="clear" w:fill="FFFFFF" w:color="auto"/>
        </w:rPr>
        <w:t xml:space="preserve">                       </w:t>
      </w:r>
      <w:r>
        <w:rPr>
          <w:bCs/>
          <w:sz w:val="28"/>
          <w:szCs w:val="28"/>
          <w:shd w:val="clear" w:fill="FFFFFF" w:color="auto"/>
        </w:rPr>
        <w:t xml:space="preserve">для включения в кадровый резерв.</w:t>
      </w:r>
      <w:bookmarkEnd w:id="0"/>
      <w:r/>
      <w:r/>
    </w:p>
    <w:p>
      <w:pPr>
        <w:ind w:firstLine="709"/>
        <w:jc w:val="both"/>
        <w:spacing w:lineRule="exact" w:line="240"/>
        <w:rPr>
          <w:rStyle w:val="869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both"/>
        <w:spacing w:lineRule="auto" w:line="276"/>
        <w:rPr>
          <w:sz w:val="28"/>
          <w:szCs w:val="28"/>
        </w:rPr>
      </w:pPr>
      <w:r>
        <w:rPr>
          <w:rStyle w:val="869"/>
          <w:b/>
          <w:bCs/>
          <w:sz w:val="28"/>
          <w:szCs w:val="28"/>
        </w:rPr>
        <w:t xml:space="preserve">Акции солидарности</w:t>
      </w:r>
      <w:r>
        <w:rPr>
          <w:rStyle w:val="869"/>
          <w:b/>
          <w:bCs/>
          <w:sz w:val="28"/>
          <w:szCs w:val="28"/>
        </w:rPr>
        <w:t xml:space="preserve">.</w:t>
      </w:r>
      <w:r/>
    </w:p>
    <w:p>
      <w:pPr>
        <w:pStyle w:val="872"/>
        <w:ind w:firstLine="709"/>
        <w:jc w:val="both"/>
        <w:spacing w:lineRule="auto" w:line="276" w:after="0"/>
        <w:rPr>
          <w:sz w:val="28"/>
          <w:szCs w:val="28"/>
        </w:rPr>
      </w:pPr>
      <w:r>
        <w:rPr>
          <w:sz w:val="28"/>
          <w:szCs w:val="28"/>
        </w:rPr>
        <w:t xml:space="preserve">В преддверии 1 мая </w:t>
      </w:r>
      <w:r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жным советом ФНПР была запущена интернет-акция «Предлагай и действуй», в рамках которой молодым членам профсоюза было предложено записать видеоролик с предложениями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 улучшению социально-экономических и трудовых отношений в России.</w:t>
      </w:r>
      <w:r>
        <w:rPr>
          <w:sz w:val="28"/>
          <w:szCs w:val="28"/>
        </w:rPr>
        <w:t xml:space="preserve"> Основными требованиями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стали: создать новые рабочие места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для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закрепить меха</w:t>
      </w:r>
      <w:r>
        <w:rPr>
          <w:sz w:val="28"/>
          <w:szCs w:val="28"/>
        </w:rPr>
        <w:t xml:space="preserve">низм реализации обязанности работодателей ежегодно индексировать заработную плату, выплачивать молодым работникам, впервые устроившимся на работу после института, материальную поддержку. Также активисты выступили за возврат пенсионного возраста, доступное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качественное медицинское обслуживание, прогрессивную шкалу НДФЛ,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за установление</w:t>
      </w:r>
      <w:r>
        <w:rPr>
          <w:sz w:val="28"/>
          <w:szCs w:val="28"/>
        </w:rPr>
        <w:t xml:space="preserve"> государственного контроля над ценообразованием за услуги ЖКХ, повышением стоимости медикаментов и топлива. Всего в сети Интернет было размещено более 200 видеороликов. Видео-коллаж с самыми яркими выступлениями был показан в ходе «Профсоюзной переклички»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прямого эфира, организованного ФНПР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мая.</w:t>
      </w:r>
      <w:r/>
    </w:p>
    <w:p>
      <w:pPr>
        <w:pStyle w:val="872"/>
        <w:ind w:firstLine="709"/>
        <w:jc w:val="both"/>
        <w:spacing w:lineRule="auto" w:line="276" w:after="0"/>
        <w:rPr>
          <w:sz w:val="28"/>
          <w:szCs w:val="28"/>
        </w:rPr>
      </w:pPr>
      <w:r>
        <w:rPr>
          <w:sz w:val="28"/>
          <w:szCs w:val="28"/>
        </w:rPr>
        <w:t xml:space="preserve">Активно молодёжь присоединилась к акции солидарности против давления на профсоюзные организации, а также нарушения норм трудового законодательства. Поводом к проведению акции стало незаконное увольнение председателя первичной профорганизац</w:t>
      </w:r>
      <w:r>
        <w:rPr>
          <w:sz w:val="28"/>
          <w:szCs w:val="28"/>
        </w:rPr>
        <w:t xml:space="preserve">ии АО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Калиновский химический завод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Светланы </w:t>
      </w:r>
      <w:r>
        <w:rPr>
          <w:rStyle w:val="871"/>
          <w:i w:val="false"/>
          <w:sz w:val="28"/>
          <w:szCs w:val="28"/>
        </w:rPr>
        <w:t xml:space="preserve">Баус</w:t>
      </w:r>
      <w:r>
        <w:rPr>
          <w:sz w:val="28"/>
          <w:szCs w:val="28"/>
        </w:rPr>
        <w:t xml:space="preserve">. Молодые профактивисты активно распростра</w:t>
      </w:r>
      <w:r>
        <w:rPr>
          <w:sz w:val="28"/>
          <w:szCs w:val="28"/>
        </w:rPr>
        <w:t xml:space="preserve">няли информацию об акции и сами</w:t>
      </w:r>
      <w:r>
        <w:rPr>
          <w:sz w:val="28"/>
          <w:szCs w:val="28"/>
        </w:rPr>
        <w:t xml:space="preserve"> публиковали посты в </w:t>
      </w:r>
      <w:r>
        <w:rPr>
          <w:sz w:val="28"/>
          <w:szCs w:val="28"/>
        </w:rPr>
        <w:t xml:space="preserve">соцсетях</w:t>
      </w:r>
      <w:r>
        <w:rPr>
          <w:sz w:val="28"/>
          <w:szCs w:val="28"/>
        </w:rPr>
        <w:t xml:space="preserve"> с требованиями восстановить</w:t>
      </w:r>
      <w:r>
        <w:rPr>
          <w:sz w:val="28"/>
          <w:szCs w:val="28"/>
        </w:rPr>
        <w:t xml:space="preserve"> </w:t>
      </w:r>
      <w:r>
        <w:rPr>
          <w:rStyle w:val="871"/>
          <w:i w:val="false"/>
          <w:sz w:val="28"/>
          <w:szCs w:val="28"/>
        </w:rPr>
        <w:t xml:space="preserve">Баус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снять директора Калиновского химзавода. Благодаря активным действиям профактивистов, в том числе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через несколько недель после н</w:t>
      </w:r>
      <w:r>
        <w:rPr>
          <w:sz w:val="28"/>
          <w:szCs w:val="28"/>
        </w:rPr>
        <w:t xml:space="preserve">ачала конфликта руководство АО «</w:t>
      </w:r>
      <w:r>
        <w:rPr>
          <w:sz w:val="28"/>
          <w:szCs w:val="28"/>
        </w:rPr>
        <w:t xml:space="preserve">Калиновский химический завод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выпустило приказ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 восстановлении Светланы</w:t>
      </w:r>
      <w:r>
        <w:rPr>
          <w:sz w:val="28"/>
          <w:szCs w:val="28"/>
        </w:rPr>
        <w:t xml:space="preserve"> </w:t>
      </w:r>
      <w:r>
        <w:rPr>
          <w:rStyle w:val="871"/>
          <w:i w:val="false"/>
          <w:sz w:val="28"/>
          <w:szCs w:val="28"/>
        </w:rPr>
        <w:t xml:space="preserve">Баус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должности с оплатой вынужденного прогула. </w:t>
      </w:r>
      <w:r/>
    </w:p>
    <w:p>
      <w:pPr>
        <w:pStyle w:val="872"/>
        <w:ind w:firstLine="709"/>
        <w:jc w:val="both"/>
        <w:spacing w:lineRule="exact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spacing w:lineRule="auto" w:line="276"/>
        <w:rPr>
          <w:bCs/>
          <w:sz w:val="28"/>
          <w:szCs w:val="28"/>
          <w:shd w:val="clear" w:fill="FFFFFF" w:color="auto"/>
        </w:rPr>
      </w:pPr>
      <w:r>
        <w:rPr>
          <w:rStyle w:val="869"/>
          <w:b/>
          <w:bCs/>
          <w:sz w:val="28"/>
          <w:szCs w:val="28"/>
        </w:rPr>
        <w:t xml:space="preserve">Коллективные договора и соглашения.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К июню 2021 г. Департаментом Аппарата ФНПР по связям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общественностью,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жной политик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профсоюзного движения </w:t>
      </w:r>
      <w:r>
        <w:rPr>
          <w:sz w:val="28"/>
          <w:szCs w:val="28"/>
          <w:shd w:val="clear" w:fill="FFFFFF" w:color="auto"/>
        </w:rPr>
        <w:t xml:space="preserve">были проанализированы</w:t>
      </w:r>
      <w:r>
        <w:rPr>
          <w:i/>
          <w:sz w:val="28"/>
          <w:szCs w:val="28"/>
          <w:shd w:val="clear" w:fill="FFFFFF" w:color="auto"/>
        </w:rPr>
        <w:t xml:space="preserve"> </w:t>
      </w:r>
      <w:r>
        <w:rPr>
          <w:bCs/>
          <w:sz w:val="28"/>
          <w:szCs w:val="28"/>
        </w:rPr>
        <w:t xml:space="preserve">материалы членских организаций ФНПР, представленные в связи с предстоящим рассмотрением Исполкомом</w:t>
      </w:r>
      <w:r>
        <w:rPr>
          <w:bCs/>
          <w:sz w:val="28"/>
          <w:szCs w:val="28"/>
        </w:rPr>
        <w:t xml:space="preserve"> ФНПР итогов </w:t>
      </w:r>
      <w:r>
        <w:rPr>
          <w:bCs/>
          <w:sz w:val="28"/>
          <w:szCs w:val="28"/>
        </w:rPr>
        <w:t xml:space="preserve">коллективно-</w:t>
      </w:r>
      <w:r>
        <w:rPr>
          <w:bCs/>
          <w:sz w:val="28"/>
          <w:szCs w:val="28"/>
        </w:rPr>
        <w:t xml:space="preserve">договорной кампании 2020 года. </w:t>
      </w:r>
      <w:r>
        <w:rPr>
          <w:bCs/>
          <w:sz w:val="28"/>
          <w:szCs w:val="28"/>
        </w:rPr>
        <w:t xml:space="preserve">Раздел с описанием лучших </w:t>
      </w:r>
      <w:r>
        <w:rPr>
          <w:bCs/>
          <w:sz w:val="28"/>
          <w:szCs w:val="28"/>
        </w:rPr>
        <w:t xml:space="preserve">практик по защите прав молодёжи через коллективные договора и соглашения вошел в приложение к постановлению Исполкома</w:t>
      </w:r>
      <w:r>
        <w:rPr>
          <w:bCs/>
          <w:sz w:val="28"/>
          <w:szCs w:val="28"/>
        </w:rPr>
        <w:t xml:space="preserve"> ФНПР</w:t>
      </w:r>
      <w:r>
        <w:rPr>
          <w:bCs/>
          <w:sz w:val="28"/>
          <w:szCs w:val="28"/>
        </w:rPr>
        <w:t xml:space="preserve">. Интересам молодёжи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в коллективно-договорных кампаниях членских организаций ФНПР уделяется достат</w:t>
      </w:r>
      <w:r>
        <w:rPr>
          <w:bCs/>
          <w:sz w:val="28"/>
          <w:szCs w:val="28"/>
        </w:rPr>
        <w:t xml:space="preserve">очное внимание, особенно правам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гарантиям категории работников, попадающих под поняти</w:t>
      </w:r>
      <w:r>
        <w:rPr>
          <w:bCs/>
          <w:sz w:val="28"/>
          <w:szCs w:val="28"/>
        </w:rPr>
        <w:t xml:space="preserve">е «молодой специалист».</w:t>
      </w:r>
      <w:r>
        <w:rPr>
          <w:bCs/>
          <w:sz w:val="28"/>
          <w:szCs w:val="28"/>
        </w:rPr>
        <w:t xml:space="preserve"> Однако</w:t>
      </w:r>
      <w:r>
        <w:rPr>
          <w:bCs/>
          <w:sz w:val="28"/>
          <w:szCs w:val="28"/>
        </w:rPr>
        <w:t xml:space="preserve"> полученные материалы не дают однозначного ответа, влияет ли наличие специализированного раздела «Права и гарантии молодых работников»</w:t>
      </w:r>
      <w:r>
        <w:rPr>
          <w:sz w:val="28"/>
          <w:szCs w:val="28"/>
        </w:rPr>
        <w:t xml:space="preserve"> на уровень профсоюзного членства среди молодёжи. 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Материалы о лучших практиках по защите интересов молодёжи собирались в течени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года не только через 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тность членских организаций о КДК-2020. Участникам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ступени «Стратрезерва» в ходе квеста необходимо было представить текст </w:t>
      </w:r>
      <w:r>
        <w:rPr>
          <w:sz w:val="28"/>
          <w:szCs w:val="28"/>
        </w:rPr>
        <w:t xml:space="preserve">распространяющегося</w:t>
      </w:r>
      <w:r>
        <w:rPr>
          <w:sz w:val="28"/>
          <w:szCs w:val="28"/>
        </w:rPr>
        <w:t xml:space="preserve"> на 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коллективного договора </w:t>
      </w:r>
      <w:r>
        <w:rPr>
          <w:sz w:val="28"/>
          <w:szCs w:val="28"/>
        </w:rPr>
        <w:t xml:space="preserve">                       и заполненную по нему таблицу</w:t>
      </w:r>
      <w:r>
        <w:rPr>
          <w:sz w:val="28"/>
          <w:szCs w:val="28"/>
        </w:rPr>
        <w:t xml:space="preserve"> с данными о гарантиях для различных категорий молодёжи. Всего Департ</w:t>
      </w:r>
      <w:r>
        <w:rPr>
          <w:sz w:val="28"/>
          <w:szCs w:val="28"/>
        </w:rPr>
        <w:t xml:space="preserve">аментом Аппарата ФНПР по связям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общественностью, молодежной политике и развитию профсоюзного движения проанализировано 107 коллективных договоров и 61 соглашение, заключ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нных в различных регионах (территориях) и отраслях, имеющих разные периоды действия,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предмет наличия в них </w:t>
      </w:r>
      <w:r>
        <w:rPr>
          <w:sz w:val="28"/>
          <w:szCs w:val="28"/>
        </w:rPr>
        <w:t xml:space="preserve">норм, касающихся защиты социально-экономических прав молодёжи. По итогам анализа подготовлен доклад «Лучшие практики членских организаций Федерации Независимых Профсоюзов России по защите социально-экономических прав молодёжи через коллективные договоры». </w:t>
      </w:r>
      <w:r>
        <w:rPr>
          <w:sz w:val="28"/>
          <w:szCs w:val="28"/>
        </w:rPr>
        <w:t xml:space="preserve">Исследованы коллективные договоры государственных (бюджетных)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коммерческих предприятий и организаций в следу</w:t>
      </w:r>
      <w:r>
        <w:rPr>
          <w:sz w:val="28"/>
          <w:szCs w:val="28"/>
        </w:rPr>
        <w:t xml:space="preserve">ющих отраслях: промышленность, </w:t>
      </w:r>
      <w:r>
        <w:rPr>
          <w:sz w:val="28"/>
          <w:szCs w:val="28"/>
        </w:rPr>
        <w:t xml:space="preserve">сельское хозяйство, лесное хозяйство, строительство, транспорт, связь, коммунальное хозяйство, здравоохранение, народное образование, культура, управление.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В 46 (43% от общего числа) проанализированных коллективных договорах нет раздела о работе с молодёжью. Вместе с тем, в тексте договоров содержатся пункты, касающиеся социально-эко</w:t>
      </w:r>
      <w:r>
        <w:rPr>
          <w:sz w:val="28"/>
          <w:szCs w:val="28"/>
        </w:rPr>
        <w:t xml:space="preserve">номической поддержки молодёжи. </w:t>
      </w:r>
      <w:r>
        <w:rPr>
          <w:sz w:val="28"/>
          <w:szCs w:val="28"/>
        </w:rPr>
        <w:t xml:space="preserve">В 35 (33%) документах работодатель и профсоюз берут на себя обязанность разрабатывать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 реализовывать программы поддержки молодёжи. В 82 (77%) документах содержатся понятия «молодой специалист» или «молодой работник», при этом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29 (27%)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имеется определение этого понятия, как правило, касающееся возраста (до 30 или 35 лет). </w:t>
      </w:r>
      <w:r>
        <w:rPr>
          <w:sz w:val="28"/>
          <w:szCs w:val="28"/>
        </w:rPr>
        <w:t xml:space="preserve">Так</w:t>
      </w:r>
      <w:r>
        <w:rPr>
          <w:sz w:val="28"/>
          <w:szCs w:val="28"/>
        </w:rPr>
        <w:t xml:space="preserve">им образом, изучив рассматриваемые коллективные договоры, можно сделать вывод о достаточно широком объёме позитивных практик, содержащихся в коллективных договорах, направленных на социально-экономическую защиту молодёжи; об эффективности социального партн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 как со стороны социально ориентированных работодателей, так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 руководителей первичных профсоюзных организаций, в основном владеющих «колдоговорной» методикой в отстаивании социально-трудовых прав и интересов </w:t>
      </w:r>
      <w:r>
        <w:rPr>
          <w:sz w:val="28"/>
          <w:szCs w:val="28"/>
        </w:rPr>
        <w:t xml:space="preserve">работников, включая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жь.</w:t>
      </w:r>
      <w:r>
        <w:rPr>
          <w:sz w:val="28"/>
          <w:szCs w:val="28"/>
        </w:rPr>
        <w:t xml:space="preserve"> Вместе с тем, возможность установления тех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или иных гарантий и льгот и их объём зачастую зависит от финансовой возможности организации (особенно это касается «бюджетных» организаций)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социальной добросовестности стороны работодателей. Часть установленных норм имеет универсальный характер и их применение возможно без допол</w:t>
      </w:r>
      <w:r>
        <w:rPr>
          <w:sz w:val="28"/>
          <w:szCs w:val="28"/>
        </w:rPr>
        <w:t xml:space="preserve">нительных финансовых расходов. </w:t>
      </w:r>
      <w:r>
        <w:rPr>
          <w:sz w:val="28"/>
          <w:szCs w:val="28"/>
        </w:rPr>
        <w:t xml:space="preserve">Отдельной проработки требует приведение понятий в соответствие с принятым Федеральным законом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«О государственной молодёжной политике в Российской Федерации». Особенно это касается сохранения в ряде коллективн</w:t>
      </w:r>
      <w:r>
        <w:rPr>
          <w:sz w:val="28"/>
          <w:szCs w:val="28"/>
        </w:rPr>
        <w:t xml:space="preserve">ых договоров возраста молодёжи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до 30 лет. </w:t>
      </w:r>
      <w:r/>
    </w:p>
    <w:p>
      <w:pPr>
        <w:ind w:firstLine="708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Стоит отметить также положительный опыт ряда территориальных объединений организаций профсоюзов и отдельных территориальных организаций профсоюзов по включению норм по защите интересов молодёжи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региональные тр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хсторонние соглашения и иные формы соглашений, заключенных в рамках социального партн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рства. </w:t>
      </w:r>
      <w:r/>
    </w:p>
    <w:p>
      <w:pPr>
        <w:ind w:firstLine="708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п.п.5.10 Регионального тр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хстороннего соглашения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при формировании областного бюджета на очередной финансовый год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 плановый период Пр</w:t>
      </w:r>
      <w:r>
        <w:rPr>
          <w:sz w:val="28"/>
          <w:szCs w:val="28"/>
        </w:rPr>
        <w:t xml:space="preserve">авительство Ярославской области</w:t>
      </w:r>
      <w:r>
        <w:rPr>
          <w:sz w:val="28"/>
          <w:szCs w:val="28"/>
        </w:rPr>
        <w:t xml:space="preserve"> предусмотрело средства на реализацию программ для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а также обеспечило финансовую поддержку деятельности областных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жных организаций в рамках реализации областных и ведомственных программ. Вопрос о реализации региональных программ, пять из которых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жной направленности, был рассмотрен 29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заседании региональной тр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хсторонней комиссии. Обязательства по защите прав и интересов молодёжи включены во все отраслевые региональные соглашения и, по имеющимся данным, выполняются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полном объ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ме. Так, при заключении в 2021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отраслевого тарифного соглашения в системе Ж</w:t>
      </w:r>
      <w:r>
        <w:rPr>
          <w:sz w:val="28"/>
          <w:szCs w:val="28"/>
        </w:rPr>
        <w:t xml:space="preserve">КХ вкл</w:t>
      </w:r>
      <w:r>
        <w:rPr>
          <w:sz w:val="28"/>
          <w:szCs w:val="28"/>
        </w:rPr>
        <w:t xml:space="preserve">ючены 12 пунктов, </w:t>
      </w:r>
      <w:r>
        <w:rPr>
          <w:sz w:val="28"/>
          <w:szCs w:val="28"/>
        </w:rPr>
        <w:t xml:space="preserve">касаемых</w:t>
      </w:r>
      <w:r>
        <w:rPr>
          <w:sz w:val="28"/>
          <w:szCs w:val="28"/>
        </w:rPr>
        <w:t xml:space="preserve">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жи.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 примеру, работодатель обязуется предоставлять молодым семьям из фонда организации долгосрочных льготных или беспроцентных займов ссуды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строительство и приобретение жилья, предмет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длительного пользования для домашнего обихода, на обучение на платной основе в учебных заведениях. Предоставлять молодым родителям, воспитывающим 2</w:t>
      </w:r>
      <w:r>
        <w:rPr>
          <w:sz w:val="28"/>
          <w:szCs w:val="28"/>
        </w:rPr>
        <w:t xml:space="preserve">-х</w:t>
      </w:r>
      <w:r>
        <w:rPr>
          <w:sz w:val="28"/>
          <w:szCs w:val="28"/>
        </w:rPr>
        <w:t xml:space="preserve"> и более детей (по их заявлению), ежемесячно один свободный день от работы с оплатой из прибыли организации в размере тарифной ставки (должностного оклада) работника.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В 2021 году в Областное отраслевое Соглашение между Пензенской областной организацией Общероссийского Профсоюза образования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Министерством образования Пензенской области на 2022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2024 г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был впервые включ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н раздел «Гарантии социально-экономических и трудовых прав работников из числа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а также обучающихся образовательных организаций высшего образования, осуществляющих педагогическую </w:t>
      </w:r>
      <w:r>
        <w:rPr>
          <w:sz w:val="28"/>
          <w:szCs w:val="28"/>
        </w:rPr>
        <w:t xml:space="preserve">деятельность». Этим разделом отраслевого Соглашения предусмотрен ряд льгот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гарантий молодым специалистам образовательных организаций Пензенской области, </w:t>
      </w:r>
      <w:r>
        <w:rPr>
          <w:sz w:val="28"/>
          <w:szCs w:val="28"/>
        </w:rPr>
        <w:t xml:space="preserve">касающихся заработной платы, адаптации на рабочем месте, профессионального обучения, дополнительного оплачиваемого отпуска,  установление дополнительного коэффициента в оплате труда студентов,  привлекаемых к работе в образовательных организациях и другие.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Впервые в краевое тр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хстороннее соглашение между Правительством Ставропольского края, Территориальным союзом «Федерация профсоюзов Ставропольского края» и Союзом работодателей Ставропольского края «Конгресс деловых кругов Ставрополья» на 2021 – 2024 г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включ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н раздел «Молод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жная политика», предусматривающий предоставление льгот по тарифам на проезд обучающимся и воспитанникам общеобразовательных организаций, обучающихся по очной форме обучения в профессиональных образовательных организациях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 организациях высшего образования железнодорожным транспортом общего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в пригородном сообщении на территории Ставропольского края,  выплаты стипендий одар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нным учащимся и студентам, обучающимся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по программам высшего, среднего профессионального образования, талантливой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 творческой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юным спортсменам, аспирантам и докторантам государственных образовательных организаций Ставропольского края, реализующих образовательные программы среднего профессионального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высшего образования, развитие институтов наставничества в организациях, расположенных на территории Ставропольского края.</w:t>
      </w:r>
      <w:r>
        <w:rPr>
          <w:sz w:val="28"/>
          <w:szCs w:val="28"/>
        </w:rPr>
        <w:t xml:space="preserve"> Одним из значимых достижений является наличие в разделе «Молод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жная политика» пункта,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которому работодатели предусматривают в коллективных договорах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или локальных нормативных актах организации гарантии от увольнения в связи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 сокращением численности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обучения.</w:t>
      </w:r>
      <w:r/>
    </w:p>
    <w:p>
      <w:pPr>
        <w:ind w:firstLine="708"/>
        <w:jc w:val="both"/>
        <w:spacing w:lineRule="auto" w:line="276"/>
        <w:rPr>
          <w:sz w:val="28"/>
          <w:szCs w:val="28"/>
        </w:rPr>
      </w:pPr>
      <w:r>
        <w:rPr>
          <w:sz w:val="28"/>
          <w:szCs w:val="28"/>
          <w:shd w:val="clear" w:fill="FFFFFF" w:color="auto"/>
        </w:rPr>
        <w:t xml:space="preserve">На сегодняшний день в 30 субъектах подписаны соглашения </w:t>
      </w:r>
      <w:r>
        <w:rPr>
          <w:sz w:val="28"/>
          <w:szCs w:val="28"/>
          <w:shd w:val="clear" w:fill="FFFFFF" w:color="auto"/>
        </w:rPr>
        <w:t xml:space="preserve">                          </w:t>
      </w:r>
      <w:r>
        <w:rPr>
          <w:sz w:val="28"/>
          <w:szCs w:val="28"/>
          <w:shd w:val="clear" w:fill="FFFFFF" w:color="auto"/>
        </w:rPr>
        <w:t xml:space="preserve">о сотрудничестве между ТООП и региональными органами государственной власти, отвечающими за реализации молодёжной политики. </w:t>
      </w:r>
      <w:r>
        <w:rPr>
          <w:sz w:val="28"/>
          <w:szCs w:val="28"/>
          <w:shd w:val="clear" w:fill="FFFFFF" w:color="auto"/>
        </w:rPr>
        <w:t xml:space="preserve">Из них -  </w:t>
      </w:r>
      <w:r>
        <w:rPr>
          <w:sz w:val="28"/>
          <w:szCs w:val="28"/>
          <w:shd w:val="clear" w:fill="FFFFFF" w:color="auto"/>
        </w:rPr>
        <w:t xml:space="preserve">                   </w:t>
      </w:r>
      <w:r>
        <w:rPr>
          <w:sz w:val="28"/>
          <w:szCs w:val="28"/>
          <w:shd w:val="clear" w:fill="FFFFFF" w:color="auto"/>
        </w:rPr>
        <w:t xml:space="preserve">13 </w:t>
      </w:r>
      <w:r>
        <w:rPr>
          <w:sz w:val="28"/>
          <w:szCs w:val="28"/>
          <w:shd w:val="clear" w:fill="FFFFFF" w:color="auto"/>
        </w:rPr>
        <w:t xml:space="preserve">подписаны впервые в 2021 г</w:t>
      </w:r>
      <w:r>
        <w:rPr>
          <w:sz w:val="28"/>
          <w:szCs w:val="28"/>
          <w:shd w:val="clear" w:fill="FFFFFF" w:color="auto"/>
        </w:rPr>
        <w:t xml:space="preserve">оду</w:t>
      </w:r>
      <w:r>
        <w:rPr>
          <w:sz w:val="28"/>
          <w:szCs w:val="28"/>
          <w:shd w:val="clear" w:fill="FFFFFF" w:color="auto"/>
        </w:rPr>
        <w:t xml:space="preserve">:</w:t>
      </w:r>
      <w:r>
        <w:rPr>
          <w:sz w:val="28"/>
          <w:szCs w:val="28"/>
          <w:shd w:val="clear" w:fill="FFFFFF" w:color="auto"/>
        </w:rPr>
        <w:t xml:space="preserve"> </w:t>
      </w:r>
      <w:r>
        <w:rPr>
          <w:sz w:val="28"/>
          <w:szCs w:val="28"/>
          <w:shd w:val="clear" w:fill="FFFFFF" w:color="auto"/>
        </w:rPr>
        <w:t xml:space="preserve">Республики Башкорт</w:t>
      </w:r>
      <w:r>
        <w:rPr>
          <w:sz w:val="28"/>
          <w:szCs w:val="28"/>
          <w:shd w:val="clear" w:fill="FFFFFF" w:color="auto"/>
        </w:rPr>
        <w:t xml:space="preserve">о</w:t>
      </w:r>
      <w:r>
        <w:rPr>
          <w:sz w:val="28"/>
          <w:szCs w:val="28"/>
          <w:shd w:val="clear" w:fill="FFFFFF" w:color="auto"/>
        </w:rPr>
        <w:t xml:space="preserve">стан, Крым, </w:t>
      </w:r>
      <w:r>
        <w:rPr>
          <w:sz w:val="28"/>
          <w:szCs w:val="28"/>
          <w:shd w:val="clear" w:fill="FFFFFF" w:color="auto"/>
        </w:rPr>
        <w:t xml:space="preserve">Марий Эл, </w:t>
      </w:r>
      <w:r>
        <w:rPr>
          <w:sz w:val="28"/>
          <w:szCs w:val="28"/>
          <w:shd w:val="clear" w:fill="FFFFFF" w:color="auto"/>
        </w:rPr>
        <w:t xml:space="preserve">Забайкальский, Краснодарский, Красноярск</w:t>
      </w:r>
      <w:r>
        <w:rPr>
          <w:sz w:val="28"/>
          <w:szCs w:val="28"/>
          <w:shd w:val="clear" w:fill="FFFFFF" w:color="auto"/>
        </w:rPr>
        <w:t xml:space="preserve">ий, Пермский и Приморский края,</w:t>
      </w:r>
      <w:r>
        <w:rPr>
          <w:sz w:val="28"/>
          <w:szCs w:val="28"/>
          <w:shd w:val="clear" w:fill="FFFFFF" w:color="auto"/>
        </w:rPr>
        <w:t xml:space="preserve"> Кемеровская, Кировская, Омская и Тамбовская область, город федерального значения Севастополь.</w:t>
      </w:r>
      <w:r/>
    </w:p>
    <w:p>
      <w:pPr>
        <w:ind w:firstLine="709"/>
        <w:jc w:val="both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8"/>
        <w:jc w:val="both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«Северный вопрос»</w:t>
      </w:r>
      <w:r>
        <w:rPr>
          <w:b/>
          <w:sz w:val="28"/>
          <w:szCs w:val="28"/>
        </w:rPr>
        <w:t xml:space="preserve">.</w:t>
      </w:r>
      <w:r/>
    </w:p>
    <w:p>
      <w:pPr>
        <w:ind w:firstLine="709"/>
        <w:jc w:val="both"/>
        <w:spacing w:lineRule="exact" w:line="360"/>
        <w:rPr>
          <w:sz w:val="28"/>
          <w:szCs w:val="28"/>
        </w:rPr>
      </w:pPr>
      <w:r>
        <w:rPr>
          <w:bCs/>
          <w:sz w:val="28"/>
          <w:szCs w:val="28"/>
        </w:rPr>
        <w:t xml:space="preserve">Активную роль играла профсоюзная молодёжь на заседаниях рабочей группы ФНПР по подготовке материалов к заседанию Генерального Совета ФНПР по вопросу «О задачах профсоюзов по защите социально-экономических </w:t>
      </w:r>
      <w:r>
        <w:rPr>
          <w:bCs/>
          <w:sz w:val="28"/>
          <w:szCs w:val="28"/>
        </w:rPr>
        <w:t xml:space="preserve">прав трудящихся районов Крайнего Севера и приравненных к ним местностей</w:t>
      </w:r>
      <w:r>
        <w:rPr>
          <w:bCs/>
          <w:sz w:val="28"/>
          <w:szCs w:val="28"/>
        </w:rPr>
        <w:t xml:space="preserve">, Дальнего Востока и Арктики</w:t>
      </w:r>
      <w:r>
        <w:rPr>
          <w:bCs/>
          <w:sz w:val="28"/>
          <w:szCs w:val="28"/>
        </w:rPr>
        <w:t xml:space="preserve">». </w:t>
      </w:r>
      <w:r>
        <w:rPr>
          <w:iCs/>
          <w:sz w:val="28"/>
          <w:szCs w:val="28"/>
        </w:rPr>
        <w:t xml:space="preserve">Позицию профсоюзной молод</w:t>
      </w:r>
      <w:r>
        <w:rPr>
          <w:iCs/>
          <w:sz w:val="28"/>
          <w:szCs w:val="28"/>
        </w:rPr>
        <w:t xml:space="preserve">ё</w:t>
      </w:r>
      <w:r>
        <w:rPr>
          <w:iCs/>
          <w:sz w:val="28"/>
          <w:szCs w:val="28"/>
        </w:rPr>
        <w:t xml:space="preserve">жи представляли заместители председателя Молодёжного </w:t>
      </w:r>
      <w:r>
        <w:rPr>
          <w:iCs/>
          <w:sz w:val="28"/>
          <w:szCs w:val="28"/>
        </w:rPr>
        <w:t xml:space="preserve">с</w:t>
      </w:r>
      <w:r>
        <w:rPr>
          <w:iCs/>
          <w:sz w:val="28"/>
          <w:szCs w:val="28"/>
        </w:rPr>
        <w:t xml:space="preserve">овета ФНПР Бурцева Ирина </w:t>
      </w:r>
      <w:r>
        <w:rPr>
          <w:iCs/>
          <w:sz w:val="28"/>
          <w:szCs w:val="28"/>
        </w:rPr>
        <w:t xml:space="preserve">                           </w:t>
      </w:r>
      <w:r>
        <w:rPr>
          <w:iCs/>
          <w:sz w:val="28"/>
          <w:szCs w:val="28"/>
        </w:rPr>
        <w:t xml:space="preserve">(в Хабаровске), Никита Бобриков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(в Архангельске) и председатель первичной профсоюзной организации АО БАНК «</w:t>
      </w:r>
      <w:r>
        <w:rPr>
          <w:iCs/>
          <w:sz w:val="28"/>
          <w:szCs w:val="28"/>
        </w:rPr>
        <w:t xml:space="preserve">Сургутнефтегазбанк</w:t>
      </w:r>
      <w:r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Нефтегазстройпрофсоюза</w:t>
      </w:r>
      <w:r>
        <w:rPr>
          <w:iCs/>
          <w:sz w:val="28"/>
          <w:szCs w:val="28"/>
        </w:rPr>
        <w:t xml:space="preserve"> России, член </w:t>
      </w:r>
      <w:r>
        <w:rPr>
          <w:iCs/>
          <w:sz w:val="28"/>
          <w:szCs w:val="28"/>
        </w:rPr>
        <w:t xml:space="preserve">М</w:t>
      </w:r>
      <w:r>
        <w:rPr>
          <w:iCs/>
          <w:sz w:val="28"/>
          <w:szCs w:val="28"/>
        </w:rPr>
        <w:t xml:space="preserve">олод</w:t>
      </w:r>
      <w:r>
        <w:rPr>
          <w:iCs/>
          <w:sz w:val="28"/>
          <w:szCs w:val="28"/>
        </w:rPr>
        <w:t xml:space="preserve">ё</w:t>
      </w:r>
      <w:r>
        <w:rPr>
          <w:iCs/>
          <w:sz w:val="28"/>
          <w:szCs w:val="28"/>
        </w:rPr>
        <w:t xml:space="preserve">жного совета профобъединения </w:t>
      </w:r>
      <w:r>
        <w:rPr>
          <w:iCs/>
          <w:sz w:val="28"/>
          <w:szCs w:val="28"/>
        </w:rPr>
        <w:t xml:space="preserve">ХМ</w:t>
      </w:r>
      <w:r>
        <w:rPr>
          <w:iCs/>
          <w:sz w:val="28"/>
          <w:szCs w:val="28"/>
        </w:rPr>
        <w:t xml:space="preserve">AO</w:t>
      </w:r>
      <w:r>
        <w:rPr>
          <w:iCs/>
          <w:sz w:val="28"/>
          <w:szCs w:val="28"/>
        </w:rPr>
        <w:t xml:space="preserve">-Югры</w:t>
      </w:r>
      <w:r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</w:rPr>
        <w:t xml:space="preserve">Писанов</w:t>
      </w:r>
      <w:r>
        <w:rPr>
          <w:iCs/>
          <w:sz w:val="28"/>
          <w:szCs w:val="28"/>
        </w:rPr>
        <w:t xml:space="preserve"> Дмитрий (в </w:t>
      </w:r>
      <w:r>
        <w:rPr>
          <w:iCs/>
          <w:sz w:val="28"/>
          <w:szCs w:val="28"/>
          <w:shd w:val="clear" w:fill="FFFFFF" w:color="auto"/>
        </w:rPr>
        <w:t xml:space="preserve">Ханты-Мансийске).</w:t>
      </w:r>
      <w:r/>
    </w:p>
    <w:p>
      <w:pPr>
        <w:pStyle w:val="877"/>
        <w:ind w:firstLine="709"/>
        <w:jc w:val="both"/>
        <w:spacing w:lineRule="exact" w:line="360" w:after="0"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своих выступлениях</w:t>
      </w:r>
      <w:r>
        <w:rPr>
          <w:iCs/>
          <w:sz w:val="28"/>
          <w:szCs w:val="28"/>
        </w:rPr>
        <w:t xml:space="preserve"> молодые профсоюзные активисты </w:t>
      </w:r>
      <w:r>
        <w:rPr>
          <w:iCs/>
          <w:sz w:val="28"/>
          <w:szCs w:val="28"/>
        </w:rPr>
        <w:t xml:space="preserve">отмечали, что необходимо </w:t>
      </w:r>
      <w:r>
        <w:rPr>
          <w:sz w:val="28"/>
          <w:szCs w:val="28"/>
        </w:rPr>
        <w:t xml:space="preserve">последовательно решать проблемы транспортной и социальной инфраструктуры территорий Крайнего Севера, не допускать снижения гарантий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компенсаций, предоставляемых работающим на Севере, предоставлять временное жилье работникам, заключившим трудовые договоры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работодателями, и прибывающим в районы Крайнего Севера и приравненные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 ним местности,</w:t>
      </w:r>
      <w:r>
        <w:rPr>
          <w:sz w:val="28"/>
          <w:szCs w:val="28"/>
        </w:rPr>
        <w:t xml:space="preserve"> Дальнего Востока и Арктики</w:t>
      </w:r>
      <w:r>
        <w:rPr>
          <w:sz w:val="28"/>
          <w:szCs w:val="28"/>
        </w:rPr>
        <w:t xml:space="preserve"> выплачивать районные коэффициенты с первого дня работы</w:t>
      </w:r>
      <w:r>
        <w:rPr>
          <w:sz w:val="28"/>
          <w:szCs w:val="28"/>
        </w:rPr>
        <w:t xml:space="preserve"> в полном объ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ме вне зависимости от срока проживания на северной территории</w:t>
      </w:r>
      <w:r/>
    </w:p>
    <w:p>
      <w:pPr>
        <w:pStyle w:val="877"/>
        <w:ind w:firstLine="709"/>
        <w:jc w:val="both"/>
        <w:spacing w:lineRule="exact" w:line="360" w:after="0" w:before="0"/>
        <w:rPr>
          <w:sz w:val="28"/>
          <w:szCs w:val="28"/>
          <w:shd w:val="clear" w:fill="FFFFFF" w:color="auto"/>
        </w:rPr>
      </w:pPr>
      <w:r>
        <w:rPr>
          <w:sz w:val="28"/>
          <w:szCs w:val="28"/>
          <w:shd w:val="clear" w:fill="FFFFFF" w:color="auto"/>
        </w:rPr>
        <w:t xml:space="preserve">1</w:t>
      </w:r>
      <w:r>
        <w:rPr>
          <w:sz w:val="28"/>
          <w:szCs w:val="28"/>
          <w:shd w:val="clear" w:fill="FFFFFF" w:color="auto"/>
        </w:rPr>
        <w:t xml:space="preserve">9 октября 2021 года состоялась </w:t>
      </w:r>
      <w:r>
        <w:rPr>
          <w:sz w:val="28"/>
          <w:szCs w:val="28"/>
          <w:shd w:val="clear" w:fill="FFFFFF" w:color="auto"/>
        </w:rPr>
        <w:t xml:space="preserve">VII Северная межрегиональная конференция по актуальным вопросам социальной защиты работников в районах Крайнего Севера и приравненных к ним местностях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shd w:val="clear" w:fill="FFFFFF" w:color="auto"/>
        </w:rPr>
        <w:t xml:space="preserve"> В е</w:t>
      </w:r>
      <w:r>
        <w:rPr>
          <w:sz w:val="28"/>
          <w:szCs w:val="28"/>
          <w:shd w:val="clear" w:fill="FFFFFF" w:color="auto"/>
        </w:rPr>
        <w:t xml:space="preserve">ё</w:t>
      </w:r>
      <w:r>
        <w:rPr>
          <w:sz w:val="28"/>
          <w:szCs w:val="28"/>
          <w:shd w:val="clear" w:fill="FFFFFF" w:color="auto"/>
        </w:rPr>
        <w:t xml:space="preserve"> работе интересы молодёжи представлял заместитель председателя Молодёжного совета ФНПР  Никита Бобрик</w:t>
      </w:r>
      <w:r>
        <w:rPr>
          <w:sz w:val="28"/>
          <w:szCs w:val="28"/>
          <w:shd w:val="clear" w:fill="FFFFFF" w:color="auto"/>
        </w:rPr>
        <w:t xml:space="preserve">ов. По итогам конференции были приняты рекомендации, которые направлены: Совету Федерации и Государственной Думе Федерального Собрания Российской Федерации (включая профильные комитеты), Правительству Российской Федерации, Российскому союзу промышленников </w:t>
      </w:r>
      <w:r>
        <w:rPr>
          <w:sz w:val="28"/>
          <w:szCs w:val="28"/>
          <w:shd w:val="clear" w:fill="FFFFFF" w:color="auto"/>
        </w:rPr>
        <w:t xml:space="preserve">                                 </w:t>
      </w:r>
      <w:r>
        <w:rPr>
          <w:sz w:val="28"/>
          <w:szCs w:val="28"/>
          <w:shd w:val="clear" w:fill="FFFFFF" w:color="auto"/>
        </w:rPr>
        <w:t xml:space="preserve">и предпринимателей, а также руководителям органов исполнительной власти районов Крайнего Севера и приравненных к ним местностей. </w:t>
      </w:r>
      <w:r/>
    </w:p>
    <w:p>
      <w:pPr>
        <w:pStyle w:val="877"/>
        <w:ind w:firstLine="709"/>
        <w:jc w:val="both"/>
        <w:spacing w:lineRule="exact" w:line="360" w:after="0" w:before="0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на заседании Генерального Совета</w:t>
      </w:r>
      <w:r>
        <w:rPr>
          <w:sz w:val="28"/>
          <w:szCs w:val="28"/>
          <w:shd w:val="clear" w:fill="FFFFFF" w:color="auto"/>
        </w:rPr>
        <w:t xml:space="preserve"> 24 ноября</w:t>
      </w:r>
      <w:r>
        <w:rPr>
          <w:sz w:val="28"/>
          <w:szCs w:val="28"/>
          <w:shd w:val="clear" w:fill="FFFFFF" w:color="auto"/>
        </w:rPr>
        <w:t xml:space="preserve"> </w:t>
      </w:r>
      <w:r>
        <w:rPr>
          <w:sz w:val="28"/>
          <w:szCs w:val="28"/>
          <w:shd w:val="clear" w:fill="FFFFFF" w:color="auto"/>
        </w:rPr>
        <w:t xml:space="preserve">                 </w:t>
      </w:r>
      <w:r>
        <w:rPr>
          <w:sz w:val="28"/>
          <w:szCs w:val="28"/>
          <w:shd w:val="clear" w:fill="FFFFFF" w:color="auto"/>
        </w:rPr>
        <w:t xml:space="preserve">2021 года</w:t>
      </w:r>
      <w:r>
        <w:rPr>
          <w:sz w:val="28"/>
          <w:szCs w:val="28"/>
          <w:shd w:val="clear" w:fill="FFFFFF" w:color="auto"/>
        </w:rPr>
        <w:t xml:space="preserve"> по вопросу о задачах профсоюзов по защите социально-экономических прав трудящихся районов Крайнего севера и приравненных к ним территорий</w:t>
      </w:r>
      <w:r>
        <w:rPr>
          <w:sz w:val="28"/>
          <w:szCs w:val="28"/>
          <w:shd w:val="clear" w:fill="FFFFFF" w:color="auto"/>
        </w:rPr>
        <w:t xml:space="preserve"> Дальнего Востока и Арктики</w:t>
      </w:r>
      <w:r>
        <w:rPr>
          <w:sz w:val="28"/>
          <w:szCs w:val="28"/>
          <w:shd w:val="clear" w:fill="FFFFFF" w:color="auto"/>
        </w:rPr>
        <w:t xml:space="preserve"> заместитель председателя Молодёжного </w:t>
      </w:r>
      <w:r>
        <w:rPr>
          <w:sz w:val="28"/>
          <w:szCs w:val="28"/>
          <w:shd w:val="clear" w:fill="FFFFFF" w:color="auto"/>
        </w:rPr>
        <w:t xml:space="preserve">с</w:t>
      </w:r>
      <w:r>
        <w:rPr>
          <w:sz w:val="28"/>
          <w:szCs w:val="28"/>
          <w:shd w:val="clear" w:fill="FFFFFF" w:color="auto"/>
        </w:rPr>
        <w:t xml:space="preserve">овета ФНПР Бобриков Никита отметил,</w:t>
      </w:r>
      <w:r>
        <w:rPr>
          <w:sz w:val="28"/>
          <w:szCs w:val="28"/>
          <w:shd w:val="clear" w:fill="FFFFFF" w:color="auto"/>
        </w:rPr>
        <w:t xml:space="preserve"> </w:t>
      </w:r>
      <w:r>
        <w:rPr>
          <w:sz w:val="28"/>
          <w:szCs w:val="28"/>
        </w:rPr>
        <w:t xml:space="preserve">что разработка мер, необходимых для привлечения и закрепления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в северных регионах, - серь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знейшая задача, стоящая и перед органами исполнительной</w:t>
      </w:r>
      <w:r>
        <w:rPr>
          <w:sz w:val="28"/>
          <w:szCs w:val="28"/>
        </w:rPr>
        <w:t xml:space="preserve"> и законодательной власти различных уровней, и перед обществом. </w:t>
      </w:r>
      <w:r/>
    </w:p>
    <w:p>
      <w:pPr>
        <w:ind w:firstLine="708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Поддерживая выступление представителя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Генеральный совет </w:t>
      </w:r>
      <w:r>
        <w:rPr>
          <w:sz w:val="28"/>
          <w:szCs w:val="28"/>
        </w:rPr>
        <w:t xml:space="preserve">ФНПР </w:t>
      </w:r>
      <w:r>
        <w:rPr>
          <w:sz w:val="28"/>
          <w:szCs w:val="28"/>
        </w:rPr>
        <w:t xml:space="preserve">включил в итоговое постановление обращение в Правительство Российской Федерации с предложени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 распространить действие программ, направленных на поддержку молодых специалистов и членов их семей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Дальнем Востоке и в Арктике, </w:t>
      </w:r>
      <w:r>
        <w:rPr>
          <w:sz w:val="28"/>
          <w:szCs w:val="28"/>
        </w:rPr>
        <w:t xml:space="preserve">на все районы Крайнего Севера и приравненные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 ним местности (в том числе программы льготного жилищного кредитования, </w:t>
      </w:r>
      <w:r>
        <w:rPr>
          <w:sz w:val="28"/>
          <w:szCs w:val="28"/>
        </w:rPr>
        <w:t xml:space="preserve">повышения размеров материнского капитала и доступного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востребованным профессиям). Кроме того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предложено </w:t>
      </w:r>
      <w:r>
        <w:rPr>
          <w:sz w:val="28"/>
          <w:szCs w:val="28"/>
        </w:rPr>
        <w:t xml:space="preserve">законодательно закрепить выплату процентной надбавки к заработной плате для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полном размере с первого дня работы в районах Крайнего Севера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приравненных к ним местностях.</w:t>
      </w:r>
      <w:r/>
    </w:p>
    <w:p>
      <w:pPr>
        <w:pStyle w:val="877"/>
        <w:ind w:firstLine="709"/>
        <w:jc w:val="both"/>
        <w:spacing w:lineRule="exact" w:line="240" w:after="0" w:before="0"/>
        <w:shd w:val="clear" w:fill="FFFFFF" w:color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pStyle w:val="877"/>
        <w:ind w:firstLine="709"/>
        <w:jc w:val="both"/>
        <w:spacing w:lineRule="auto" w:line="276" w:after="0" w:before="0"/>
        <w:shd w:val="clear" w:fill="FFFFFF" w:color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Занятость молодёжи</w:t>
      </w:r>
      <w:r>
        <w:rPr>
          <w:b/>
          <w:bCs/>
          <w:iCs/>
          <w:sz w:val="28"/>
          <w:szCs w:val="28"/>
        </w:rPr>
        <w:t xml:space="preserve">.</w:t>
      </w:r>
      <w:r/>
    </w:p>
    <w:p>
      <w:pPr>
        <w:ind w:firstLine="708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В 2021 г</w:t>
      </w:r>
      <w:r>
        <w:rPr>
          <w:sz w:val="28"/>
          <w:szCs w:val="28"/>
        </w:rPr>
        <w:t xml:space="preserve">оду</w:t>
      </w:r>
      <w:r>
        <w:rPr>
          <w:sz w:val="28"/>
          <w:szCs w:val="28"/>
        </w:rPr>
        <w:t xml:space="preserve"> ФНПР приняла активное участие в разработке Долгосрочной программы содействия занятости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подготовленной Минтрудом</w:t>
      </w:r>
      <w:r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по распоряжению Презид</w:t>
      </w:r>
      <w:r>
        <w:rPr>
          <w:sz w:val="28"/>
          <w:szCs w:val="28"/>
        </w:rPr>
        <w:t xml:space="preserve">ента РФ. Главная цель программы - </w:t>
      </w:r>
      <w:r>
        <w:rPr>
          <w:sz w:val="28"/>
          <w:szCs w:val="28"/>
        </w:rPr>
        <w:t xml:space="preserve">создание условий для реализации профессионального, трудового и предпринимательского потенциала молодых л</w:t>
      </w:r>
      <w:r>
        <w:rPr>
          <w:sz w:val="28"/>
          <w:szCs w:val="28"/>
        </w:rPr>
        <w:t xml:space="preserve">юдей. В декабре соответствующий </w:t>
      </w:r>
      <w:r>
        <w:rPr>
          <w:sz w:val="28"/>
          <w:szCs w:val="28"/>
        </w:rPr>
        <w:t xml:space="preserve">документ</w:t>
      </w:r>
      <w:r>
        <w:rPr>
          <w:sz w:val="28"/>
          <w:szCs w:val="28"/>
        </w:rPr>
        <w:t xml:space="preserve"> </w:t>
      </w:r>
      <w:hyperlink r:id="rId13" w:tooltip="http://government.ru/docs/44122" w:history="1">
        <w:r>
          <w:rPr>
            <w:rStyle w:val="864"/>
            <w:color w:val="auto"/>
            <w:sz w:val="28"/>
            <w:szCs w:val="28"/>
            <w:u w:val="none"/>
          </w:rPr>
          <w:t xml:space="preserve">подписал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Правительства РФ Михаил Мишустин.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Реализация</w:t>
      </w:r>
      <w:hyperlink r:id="rId14" w:tooltip="http://static.government.ru/media/files/rPqTKcZXAGKm9YF3xVcoANoHZSUnnpE6.pdf" w:history="1">
        <w:r>
          <w:rPr>
            <w:rStyle w:val="864"/>
            <w:color w:val="auto"/>
            <w:sz w:val="28"/>
            <w:szCs w:val="28"/>
            <w:u w:val="none"/>
          </w:rPr>
          <w:t xml:space="preserve"> программы</w:t>
        </w:r>
      </w:hyperlink>
      <w:r>
        <w:rPr>
          <w:sz w:val="28"/>
          <w:szCs w:val="28"/>
        </w:rPr>
        <w:t xml:space="preserve"> рассчитана до 2030 года и предусматривает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32 мероприятия, в их числе - предоставление субсидий работодателям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за трудоустройство молодых людей</w:t>
      </w:r>
      <w:r>
        <w:rPr>
          <w:sz w:val="28"/>
          <w:szCs w:val="28"/>
        </w:rPr>
        <w:t xml:space="preserve">, которым часто бывает сложно найти работу, совершенствование порядка формирования и распределения контрольных цифр приёма в колледжи и вузы, чтобы максимально приблизить их к потребностям рынка труда. Первоначальный проект программы вызвал много вопросов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Федерации Независимых Профсоюзов России. Он н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с в себе риски снижения защищ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нности трудящейся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жи, а значит, проект нуждался в доработке.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ФНПР были собраны и проанализированы предложения членских организаций и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жного совета ФНПР. По итогу этой работы Председатель ФНП</w:t>
      </w:r>
      <w:r>
        <w:rPr>
          <w:sz w:val="28"/>
          <w:szCs w:val="28"/>
        </w:rPr>
        <w:t xml:space="preserve">Р Михаил Шмаков направил письмо</w:t>
      </w:r>
      <w:r>
        <w:rPr>
          <w:sz w:val="28"/>
          <w:szCs w:val="28"/>
        </w:rPr>
        <w:t xml:space="preserve"> Министру труда и социальной защиты РФ Антону Котякову, в котором</w:t>
      </w:r>
      <w:r>
        <w:rPr>
          <w:sz w:val="28"/>
          <w:szCs w:val="28"/>
        </w:rPr>
        <w:t xml:space="preserve"> </w:t>
      </w:r>
      <w:hyperlink r:id="rId15" w:tooltip="https://fnpr.ru/events/novosti-fnpr/profsoyuzy-sformulirovali-popravki-k-programme-sodeystviya-zanyatosti-molodyezhi-podgotovlennoy-mint.html?sphrase_id=7469" w:history="1">
        <w:r>
          <w:rPr>
            <w:rStyle w:val="864"/>
            <w:color w:val="auto"/>
            <w:sz w:val="28"/>
            <w:szCs w:val="28"/>
            <w:u w:val="none"/>
          </w:rPr>
          <w:t xml:space="preserve">были сформулированы предложения</w:t>
        </w:r>
      </w:hyperlink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по корректировке документа. С этим же пакетом предложений ФНПР </w:t>
      </w:r>
      <w:hyperlink r:id="rId16" w:tooltip="https://fnpr.ru/events/novosti-fnpr/fnpr-prinyala-uchastie-v-obsuzhdenii-prav-i-garantiy-trudyashcheysya-molodezhi-v-gosdume.html?sphrase_id=7469" w:history="1">
        <w:r>
          <w:rPr>
            <w:rStyle w:val="864"/>
            <w:color w:val="auto"/>
            <w:sz w:val="28"/>
            <w:szCs w:val="28"/>
            <w:u w:val="none"/>
          </w:rPr>
          <w:t xml:space="preserve">приняла участие в обсуждении</w:t>
        </w:r>
      </w:hyperlink>
      <w:r>
        <w:rPr>
          <w:sz w:val="28"/>
          <w:szCs w:val="28"/>
        </w:rPr>
        <w:t xml:space="preserve"> прав и гарантий трудящейся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в Госдуме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Третьим шагом стал запрос на рассмотрение программы </w:t>
      </w:r>
      <w:hyperlink r:id="rId17" w:tooltip="https://fnpr.ru/events/novosti-fnpr/na-ocherednom-zasedanii-rtk-glava-fnpr-vystupil-protiv-mintrudovskogo-podkhoda-k-opredeleniyu-granits.html?sphrase_id=7498" w:history="1">
        <w:r>
          <w:rPr>
            <w:rStyle w:val="864"/>
            <w:color w:val="auto"/>
            <w:sz w:val="28"/>
            <w:szCs w:val="28"/>
            <w:u w:val="none"/>
          </w:rPr>
          <w:t xml:space="preserve">на заседании РТК</w:t>
        </w:r>
      </w:hyperlink>
      <w:r>
        <w:rPr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Одним из вызывающих вопросы профсоюзов пунктов оказался возраст целевой аудитори</w:t>
      </w:r>
      <w:r>
        <w:rPr>
          <w:sz w:val="28"/>
          <w:szCs w:val="28"/>
        </w:rPr>
        <w:t xml:space="preserve">и программы - изначально он был</w:t>
      </w:r>
      <w:r>
        <w:rPr>
          <w:sz w:val="28"/>
          <w:szCs w:val="28"/>
        </w:rPr>
        <w:t xml:space="preserve"> до 30 лет, тогда как в законе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жной политике РФ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жью считаются люди до 35 лет включительно. ФНПР настояла, чтобы границы возраста участников проекта был расширен -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итоге программа распространяется на группу молод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жи до 35 лет включительно.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Кроме того, с точки зрения профсоюзов принципиально было, чтобы опыт </w:t>
      </w:r>
      <w:r>
        <w:rPr>
          <w:sz w:val="28"/>
          <w:szCs w:val="28"/>
        </w:rPr>
        <w:t xml:space="preserve">волонт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</w:t>
      </w:r>
      <w:r>
        <w:rPr>
          <w:sz w:val="28"/>
          <w:szCs w:val="28"/>
        </w:rPr>
        <w:t xml:space="preserve"> не приравнивался к занятости. В ходе согласительного совещания, последовавшего за заседанием рабочей группы РТК,  формулировку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волонт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рстве</w:t>
      </w:r>
      <w:r>
        <w:rPr>
          <w:sz w:val="28"/>
          <w:szCs w:val="28"/>
        </w:rPr>
        <w:t xml:space="preserve">, как о первом опыте занятости, исключили. Как не раз подч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ркивали профсоюзы, волонт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ры, с точки зрения закона о занятости,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не могут являться «занятыми», так как они не получают оплату за свой </w:t>
      </w:r>
      <w:r>
        <w:rPr>
          <w:sz w:val="28"/>
          <w:szCs w:val="28"/>
        </w:rPr>
        <w:t xml:space="preserve">добровольный труд. Стоит отметить, что ФНПР в целом меры господдержки </w:t>
      </w:r>
      <w:r>
        <w:rPr>
          <w:sz w:val="28"/>
          <w:szCs w:val="28"/>
        </w:rPr>
        <w:t xml:space="preserve">волонт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</w:t>
      </w:r>
      <w:r>
        <w:rPr>
          <w:sz w:val="28"/>
          <w:szCs w:val="28"/>
        </w:rPr>
        <w:t xml:space="preserve"> одобряет, так как это позволяет развивать у добровольцев дополнительные знания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умения и навыки, которые могут пригодиться им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при трудоустройстве.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Еще один основной пункт проекта, который вызывал вопросы у экспертов федерации - программа стажировок и</w:t>
      </w:r>
      <w:r>
        <w:rPr>
          <w:sz w:val="28"/>
          <w:szCs w:val="28"/>
        </w:rPr>
        <w:t xml:space="preserve"> производственных практик.</w:t>
      </w:r>
      <w:r>
        <w:rPr>
          <w:sz w:val="28"/>
          <w:szCs w:val="28"/>
        </w:rPr>
        <w:t xml:space="preserve"> Изначально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документе существовала запись о подготовке доклада в Правительство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требуемым изменениям в законодательстве, связанным с необходимостью упрощения организации производственных практик, прич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 именно оплачиваемых. В программе они фигурировали в виде первого рабочего места. </w:t>
      </w:r>
      <w:r>
        <w:rPr>
          <w:sz w:val="28"/>
          <w:szCs w:val="28"/>
        </w:rPr>
        <w:t xml:space="preserve">Профсоюзы сочли, что производственная практика официально не должна считаться первым рабочим местом, так как это может снизить гарантии молодых специалистов (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молодой специалист - гражданин Российской Федерации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возрасте до 35 лет включительно (за исключением случаев, предусмотренных частью 3 статьи 6 настоящего Федерального закона), завершивший обучение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 основным профессиональным образовательным программам и (или)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 программам профессионального обучения, впервые устраивающийся на работу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с полученной квалификацией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- Федеральный з</w:t>
      </w:r>
      <w:r>
        <w:rPr>
          <w:sz w:val="28"/>
          <w:szCs w:val="28"/>
        </w:rPr>
        <w:t xml:space="preserve">акон от 30.12.2020  № 489-ФЗ). </w:t>
      </w:r>
      <w:r>
        <w:rPr>
          <w:sz w:val="28"/>
          <w:szCs w:val="28"/>
        </w:rPr>
        <w:t xml:space="preserve">Более того, на данный момент Трудовой кодекс РФ содержит описание стажировок, которые можно проходить по срочному оплачиваемому трудовому договору. В результате обсуждения с </w:t>
      </w:r>
      <w:r>
        <w:rPr>
          <w:sz w:val="28"/>
          <w:szCs w:val="28"/>
        </w:rPr>
        <w:t xml:space="preserve">соцпартнерами</w:t>
      </w:r>
      <w:r>
        <w:rPr>
          <w:sz w:val="28"/>
          <w:szCs w:val="28"/>
        </w:rPr>
        <w:t xml:space="preserve"> этот вопрос также был урегулирован - была исключена формулировка о производственной практике как о первом рабочем месте.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В пункт о стажировках включили предложения ФНПР по поддержке программ</w:t>
      </w:r>
      <w:r>
        <w:rPr>
          <w:sz w:val="28"/>
          <w:szCs w:val="28"/>
        </w:rPr>
        <w:t xml:space="preserve"> наставничества. В этом вопросе профсоюзы и работодатели оказались солидарны. Представители сторон договорились провести дополнительные консультации по этой теме и выработать общее мнение по организации стажировок и практик, а также системы наставничества.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В декабре 2021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на основании материалов, представленных членскими организациями ФНПР, сформирован и передан в Комитет по труду, социальной защите и делам ветеранов ГД ФС РФ 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 о работе систем наставничества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организациях и на предприятиях, где действуют профсоюзные организации отраслевых профсоюзов, входящих в ФНПР. </w:t>
      </w:r>
      <w:r/>
    </w:p>
    <w:p>
      <w:pPr>
        <w:pStyle w:val="877"/>
        <w:ind w:firstLine="709"/>
        <w:jc w:val="both"/>
        <w:spacing w:lineRule="exact" w:line="360" w:after="0" w:before="0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В программе нашло отражение предложение ФНПР о включении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образовательный процесс обучения основам трудовых отношений. Региональным центрам занятости совместно со сторонами </w:t>
      </w:r>
      <w:r>
        <w:rPr>
          <w:sz w:val="28"/>
          <w:szCs w:val="28"/>
        </w:rPr>
        <w:t xml:space="preserve">соцпартн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рства</w:t>
      </w:r>
      <w:r>
        <w:rPr>
          <w:sz w:val="28"/>
          <w:szCs w:val="28"/>
        </w:rPr>
        <w:t xml:space="preserve"> поручено заняться этой темой. Такой подход дает профсоюзам возможность взаимодействовать с центрами занятости в рамках программы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 профориентации.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134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20603050405020304"/>
  </w:font>
  <w:font w:name="Liberation Sans">
    <w:panose1 w:val="020B0604020202020204"/>
  </w:font>
  <w:font w:name="Arial">
    <w:panose1 w:val="020B0604020202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00256813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lang w:val="en-US"/>
          </w:rPr>
        </w:pPr>
        <w:r>
          <w:rPr>
            <w:lang w:val="en-US"/>
          </w:rPr>
        </w:r>
        <w:r/>
      </w:p>
      <w:p>
        <w:pPr>
          <w:pStyle w:val="882"/>
          <w:jc w:val="center"/>
          <w:rPr>
            <w:lang w:val="en-US"/>
          </w:rPr>
        </w:pPr>
        <w:r>
          <w:rPr>
            <w:lang w:val="en-US"/>
          </w:rPr>
        </w:r>
        <w:r/>
      </w:p>
      <w:p>
        <w:pPr>
          <w:pStyle w:val="882"/>
          <w:jc w:val="center"/>
        </w:pPr>
        <w:fldSimple w:instr="PAGE \* MERGEFORMAT">
          <w:r>
            <w:t xml:space="preserve">2</w:t>
          </w:r>
        </w:fldSimple>
        <w:r/>
        <w:r/>
      </w:p>
    </w:sdtContent>
  </w:sdt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sz w:val="28"/>
        <w:szCs w:val="28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rPr>
      <w:rFonts w:eastAsia="Times New Roman"/>
      <w:sz w:val="24"/>
      <w:szCs w:val="24"/>
      <w:lang w:eastAsia="ru-RU"/>
    </w:rPr>
  </w:style>
  <w:style w:type="paragraph" w:styleId="667">
    <w:name w:val="Heading 1"/>
    <w:basedOn w:val="666"/>
    <w:next w:val="666"/>
    <w:link w:val="886"/>
    <w:qFormat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  <w:pPr>
      <w:keepLines/>
      <w:keepNext/>
      <w:spacing w:before="480"/>
      <w:outlineLvl w:val="0"/>
    </w:p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link w:val="688"/>
    <w:uiPriority w:val="9"/>
    <w:rPr>
      <w:rFonts w:ascii="Arial" w:hAnsi="Arial" w:cs="Arial" w:eastAsia="Arial"/>
      <w:sz w:val="40"/>
      <w:szCs w:val="40"/>
    </w:rPr>
  </w:style>
  <w:style w:type="character" w:styleId="672" w:customStyle="1">
    <w:name w:val="Heading 2 Char"/>
    <w:basedOn w:val="668"/>
    <w:link w:val="689"/>
    <w:uiPriority w:val="9"/>
    <w:rPr>
      <w:rFonts w:ascii="Arial" w:hAnsi="Arial" w:cs="Arial" w:eastAsia="Arial"/>
      <w:sz w:val="34"/>
    </w:rPr>
  </w:style>
  <w:style w:type="character" w:styleId="673" w:customStyle="1">
    <w:name w:val="Heading 3 Char"/>
    <w:basedOn w:val="668"/>
    <w:link w:val="690"/>
    <w:uiPriority w:val="9"/>
    <w:rPr>
      <w:rFonts w:ascii="Arial" w:hAnsi="Arial" w:cs="Arial" w:eastAsia="Arial"/>
      <w:sz w:val="30"/>
      <w:szCs w:val="30"/>
    </w:rPr>
  </w:style>
  <w:style w:type="character" w:styleId="674" w:customStyle="1">
    <w:name w:val="Heading 4 Char"/>
    <w:basedOn w:val="668"/>
    <w:link w:val="691"/>
    <w:uiPriority w:val="9"/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Heading 5 Char"/>
    <w:basedOn w:val="668"/>
    <w:link w:val="692"/>
    <w:uiPriority w:val="9"/>
    <w:rPr>
      <w:rFonts w:ascii="Arial" w:hAnsi="Arial" w:cs="Arial" w:eastAsia="Arial"/>
      <w:b/>
      <w:bCs/>
      <w:sz w:val="24"/>
      <w:szCs w:val="24"/>
    </w:rPr>
  </w:style>
  <w:style w:type="character" w:styleId="676" w:customStyle="1">
    <w:name w:val="Heading 6 Char"/>
    <w:basedOn w:val="668"/>
    <w:link w:val="693"/>
    <w:uiPriority w:val="9"/>
    <w:rPr>
      <w:rFonts w:ascii="Arial" w:hAnsi="Arial" w:cs="Arial" w:eastAsia="Arial"/>
      <w:b/>
      <w:bCs/>
      <w:sz w:val="22"/>
      <w:szCs w:val="22"/>
    </w:rPr>
  </w:style>
  <w:style w:type="character" w:styleId="677" w:customStyle="1">
    <w:name w:val="Heading 7 Char"/>
    <w:basedOn w:val="668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link w:val="695"/>
    <w:uiPriority w:val="9"/>
    <w:rPr>
      <w:rFonts w:ascii="Arial" w:hAnsi="Arial" w:cs="Arial" w:eastAsia="Arial"/>
      <w:i/>
      <w:iCs/>
      <w:sz w:val="22"/>
      <w:szCs w:val="22"/>
    </w:rPr>
  </w:style>
  <w:style w:type="character" w:styleId="679" w:customStyle="1">
    <w:name w:val="Heading 9 Char"/>
    <w:basedOn w:val="668"/>
    <w:link w:val="696"/>
    <w:uiPriority w:val="9"/>
    <w:rPr>
      <w:rFonts w:ascii="Arial" w:hAnsi="Arial" w:cs="Arial" w:eastAsia="Arial"/>
      <w:i/>
      <w:iCs/>
      <w:sz w:val="21"/>
      <w:szCs w:val="21"/>
    </w:rPr>
  </w:style>
  <w:style w:type="character" w:styleId="680" w:customStyle="1">
    <w:name w:val="Title Char"/>
    <w:basedOn w:val="668"/>
    <w:link w:val="706"/>
    <w:uiPriority w:val="10"/>
    <w:rPr>
      <w:sz w:val="48"/>
      <w:szCs w:val="48"/>
    </w:rPr>
  </w:style>
  <w:style w:type="character" w:styleId="681" w:customStyle="1">
    <w:name w:val="Subtitle Char"/>
    <w:basedOn w:val="668"/>
    <w:link w:val="708"/>
    <w:uiPriority w:val="11"/>
    <w:rPr>
      <w:sz w:val="24"/>
      <w:szCs w:val="24"/>
    </w:rPr>
  </w:style>
  <w:style w:type="character" w:styleId="682" w:customStyle="1">
    <w:name w:val="Quote Char"/>
    <w:link w:val="710"/>
    <w:uiPriority w:val="29"/>
    <w:rPr>
      <w:i/>
    </w:rPr>
  </w:style>
  <w:style w:type="character" w:styleId="683" w:customStyle="1">
    <w:name w:val="Intense Quote Char"/>
    <w:link w:val="712"/>
    <w:uiPriority w:val="30"/>
    <w:rPr>
      <w:i/>
    </w:rPr>
  </w:style>
  <w:style w:type="character" w:styleId="684" w:customStyle="1">
    <w:name w:val="Header Char"/>
    <w:basedOn w:val="668"/>
    <w:link w:val="714"/>
    <w:uiPriority w:val="99"/>
  </w:style>
  <w:style w:type="character" w:styleId="685" w:customStyle="1">
    <w:name w:val="Caption Char"/>
    <w:link w:val="716"/>
    <w:uiPriority w:val="99"/>
  </w:style>
  <w:style w:type="character" w:styleId="686" w:customStyle="1">
    <w:name w:val="Footnote Text Char"/>
    <w:link w:val="847"/>
    <w:uiPriority w:val="99"/>
    <w:rPr>
      <w:sz w:val="18"/>
    </w:rPr>
  </w:style>
  <w:style w:type="character" w:styleId="687" w:customStyle="1">
    <w:name w:val="Endnote Text Char"/>
    <w:link w:val="850"/>
    <w:uiPriority w:val="99"/>
    <w:rPr>
      <w:sz w:val="20"/>
    </w:rPr>
  </w:style>
  <w:style w:type="paragraph" w:styleId="688" w:customStyle="1">
    <w:name w:val="Heading 1"/>
    <w:basedOn w:val="666"/>
    <w:next w:val="666"/>
    <w:link w:val="6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89" w:customStyle="1">
    <w:name w:val="Heading 2"/>
    <w:basedOn w:val="666"/>
    <w:next w:val="666"/>
    <w:link w:val="698"/>
    <w:qFormat/>
    <w:uiPriority w:val="9"/>
    <w:rPr>
      <w:b/>
      <w:bCs/>
      <w:sz w:val="36"/>
      <w:szCs w:val="36"/>
    </w:rPr>
    <w:pPr>
      <w:spacing w:after="280" w:before="280"/>
      <w:outlineLvl w:val="1"/>
    </w:pPr>
  </w:style>
  <w:style w:type="paragraph" w:styleId="690" w:customStyle="1">
    <w:name w:val="Heading 3"/>
    <w:basedOn w:val="666"/>
    <w:next w:val="666"/>
    <w:link w:val="69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91" w:customStyle="1">
    <w:name w:val="Heading 4"/>
    <w:basedOn w:val="666"/>
    <w:next w:val="666"/>
    <w:link w:val="700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4F81BD" w:themeColor="accent1"/>
    </w:rPr>
    <w:pPr>
      <w:keepLines/>
      <w:keepNext/>
      <w:spacing w:before="200"/>
      <w:outlineLvl w:val="3"/>
    </w:pPr>
  </w:style>
  <w:style w:type="paragraph" w:styleId="692" w:customStyle="1">
    <w:name w:val="Heading 5"/>
    <w:basedOn w:val="666"/>
    <w:next w:val="666"/>
    <w:link w:val="70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693" w:customStyle="1">
    <w:name w:val="Heading 6"/>
    <w:basedOn w:val="666"/>
    <w:next w:val="666"/>
    <w:link w:val="70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94" w:customStyle="1">
    <w:name w:val="Heading 7"/>
    <w:basedOn w:val="666"/>
    <w:next w:val="666"/>
    <w:link w:val="7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95" w:customStyle="1">
    <w:name w:val="Heading 8"/>
    <w:basedOn w:val="666"/>
    <w:next w:val="666"/>
    <w:link w:val="70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96" w:customStyle="1">
    <w:name w:val="Heading 9"/>
    <w:basedOn w:val="666"/>
    <w:next w:val="666"/>
    <w:link w:val="7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7" w:customStyle="1">
    <w:name w:val="Заголовок 1 Знак"/>
    <w:basedOn w:val="668"/>
    <w:link w:val="688"/>
    <w:uiPriority w:val="9"/>
    <w:rPr>
      <w:rFonts w:ascii="Arial" w:hAnsi="Arial" w:cs="Arial" w:eastAsia="Arial"/>
      <w:sz w:val="40"/>
      <w:szCs w:val="40"/>
    </w:rPr>
  </w:style>
  <w:style w:type="character" w:styleId="698" w:customStyle="1">
    <w:name w:val="Заголовок 2 Знак1"/>
    <w:basedOn w:val="668"/>
    <w:link w:val="689"/>
    <w:uiPriority w:val="9"/>
    <w:rPr>
      <w:rFonts w:ascii="Arial" w:hAnsi="Arial" w:cs="Arial" w:eastAsia="Arial"/>
      <w:sz w:val="34"/>
    </w:rPr>
  </w:style>
  <w:style w:type="character" w:styleId="699" w:customStyle="1">
    <w:name w:val="Заголовок 3 Знак"/>
    <w:basedOn w:val="668"/>
    <w:link w:val="690"/>
    <w:uiPriority w:val="9"/>
    <w:rPr>
      <w:rFonts w:ascii="Arial" w:hAnsi="Arial" w:cs="Arial" w:eastAsia="Arial"/>
      <w:sz w:val="30"/>
      <w:szCs w:val="30"/>
    </w:rPr>
  </w:style>
  <w:style w:type="character" w:styleId="700" w:customStyle="1">
    <w:name w:val="Заголовок 4 Знак1"/>
    <w:basedOn w:val="668"/>
    <w:link w:val="691"/>
    <w:uiPriority w:val="9"/>
    <w:rPr>
      <w:rFonts w:ascii="Arial" w:hAnsi="Arial" w:cs="Arial" w:eastAsia="Arial"/>
      <w:b/>
      <w:bCs/>
      <w:sz w:val="26"/>
      <w:szCs w:val="26"/>
    </w:rPr>
  </w:style>
  <w:style w:type="character" w:styleId="701" w:customStyle="1">
    <w:name w:val="Заголовок 5 Знак"/>
    <w:basedOn w:val="668"/>
    <w:link w:val="692"/>
    <w:uiPriority w:val="9"/>
    <w:rPr>
      <w:rFonts w:ascii="Arial" w:hAnsi="Arial" w:cs="Arial" w:eastAsia="Arial"/>
      <w:b/>
      <w:bCs/>
      <w:sz w:val="24"/>
      <w:szCs w:val="24"/>
    </w:rPr>
  </w:style>
  <w:style w:type="character" w:styleId="702" w:customStyle="1">
    <w:name w:val="Заголовок 6 Знак"/>
    <w:basedOn w:val="668"/>
    <w:link w:val="693"/>
    <w:uiPriority w:val="9"/>
    <w:rPr>
      <w:rFonts w:ascii="Arial" w:hAnsi="Arial" w:cs="Arial" w:eastAsia="Arial"/>
      <w:b/>
      <w:bCs/>
      <w:sz w:val="22"/>
      <w:szCs w:val="22"/>
    </w:rPr>
  </w:style>
  <w:style w:type="character" w:styleId="703" w:customStyle="1">
    <w:name w:val="Заголовок 7 Знак"/>
    <w:basedOn w:val="668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68"/>
    <w:link w:val="695"/>
    <w:uiPriority w:val="9"/>
    <w:rPr>
      <w:rFonts w:ascii="Arial" w:hAnsi="Arial" w:cs="Arial" w:eastAsia="Arial"/>
      <w:i/>
      <w:iCs/>
      <w:sz w:val="22"/>
      <w:szCs w:val="22"/>
    </w:rPr>
  </w:style>
  <w:style w:type="character" w:styleId="705" w:customStyle="1">
    <w:name w:val="Заголовок 9 Знак"/>
    <w:basedOn w:val="668"/>
    <w:link w:val="696"/>
    <w:uiPriority w:val="9"/>
    <w:rPr>
      <w:rFonts w:ascii="Arial" w:hAnsi="Arial" w:cs="Arial" w:eastAsia="Arial"/>
      <w:i/>
      <w:iCs/>
      <w:sz w:val="21"/>
      <w:szCs w:val="21"/>
    </w:rPr>
  </w:style>
  <w:style w:type="paragraph" w:styleId="706">
    <w:name w:val="Title"/>
    <w:basedOn w:val="666"/>
    <w:next w:val="872"/>
    <w:link w:val="707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character" w:styleId="707" w:customStyle="1">
    <w:name w:val="Название Знак"/>
    <w:basedOn w:val="668"/>
    <w:link w:val="706"/>
    <w:uiPriority w:val="10"/>
    <w:rPr>
      <w:sz w:val="48"/>
      <w:szCs w:val="48"/>
    </w:rPr>
  </w:style>
  <w:style w:type="paragraph" w:styleId="708">
    <w:name w:val="Subtitle"/>
    <w:basedOn w:val="666"/>
    <w:next w:val="666"/>
    <w:link w:val="709"/>
    <w:qFormat/>
    <w:uiPriority w:val="11"/>
    <w:pPr>
      <w:spacing w:after="200" w:before="200"/>
    </w:pPr>
  </w:style>
  <w:style w:type="character" w:styleId="709" w:customStyle="1">
    <w:name w:val="Подзаголовок Знак"/>
    <w:basedOn w:val="668"/>
    <w:link w:val="708"/>
    <w:uiPriority w:val="11"/>
    <w:rPr>
      <w:sz w:val="24"/>
      <w:szCs w:val="24"/>
    </w:rPr>
  </w:style>
  <w:style w:type="paragraph" w:styleId="710">
    <w:name w:val="Quote"/>
    <w:basedOn w:val="666"/>
    <w:next w:val="666"/>
    <w:link w:val="711"/>
    <w:qFormat/>
    <w:uiPriority w:val="29"/>
    <w:rPr>
      <w:i/>
    </w:rPr>
    <w:pPr>
      <w:ind w:left="720" w:right="720"/>
    </w:p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6"/>
    <w:next w:val="666"/>
    <w:link w:val="713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 w:customStyle="1">
    <w:name w:val="Header"/>
    <w:basedOn w:val="666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basedOn w:val="668"/>
    <w:link w:val="714"/>
    <w:uiPriority w:val="99"/>
  </w:style>
  <w:style w:type="paragraph" w:styleId="716" w:customStyle="1">
    <w:name w:val="Footer"/>
    <w:basedOn w:val="666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basedOn w:val="668"/>
    <w:uiPriority w:val="99"/>
  </w:style>
  <w:style w:type="paragraph" w:styleId="718" w:customStyle="1">
    <w:name w:val="Caption"/>
    <w:basedOn w:val="666"/>
    <w:next w:val="6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basedOn w:val="669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66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Plain Table 1"/>
    <w:basedOn w:val="66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2"/>
    <w:basedOn w:val="66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3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 w:customStyle="1">
    <w:name w:val="Plain Table 4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Plain Table 5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7" w:customStyle="1">
    <w:name w:val="Grid Table 1 Light"/>
    <w:basedOn w:val="66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69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69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69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69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69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69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2"/>
    <w:basedOn w:val="66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2 - Accent 1"/>
    <w:basedOn w:val="669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2 - Accent 2"/>
    <w:basedOn w:val="669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2 - Accent 3"/>
    <w:basedOn w:val="669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2 - Accent 4"/>
    <w:basedOn w:val="669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2 - Accent 5"/>
    <w:basedOn w:val="669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6"/>
    <w:basedOn w:val="669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3"/>
    <w:basedOn w:val="66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3 - Accent 1"/>
    <w:basedOn w:val="669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3 - Accent 2"/>
    <w:basedOn w:val="669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3 - Accent 3"/>
    <w:basedOn w:val="669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3 - Accent 4"/>
    <w:basedOn w:val="669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3 - Accent 5"/>
    <w:basedOn w:val="669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6"/>
    <w:basedOn w:val="669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4"/>
    <w:basedOn w:val="66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9" w:customStyle="1">
    <w:name w:val="Grid Table 4 - Accent 1"/>
    <w:basedOn w:val="669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50" w:customStyle="1">
    <w:name w:val="Grid Table 4 - Accent 2"/>
    <w:basedOn w:val="669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51" w:customStyle="1">
    <w:name w:val="Grid Table 4 - Accent 3"/>
    <w:basedOn w:val="669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52" w:customStyle="1">
    <w:name w:val="Grid Table 4 - Accent 4"/>
    <w:basedOn w:val="669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53" w:customStyle="1">
    <w:name w:val="Grid Table 4 - Accent 5"/>
    <w:basedOn w:val="669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54" w:customStyle="1">
    <w:name w:val="Grid Table 4 - Accent 6"/>
    <w:basedOn w:val="669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55" w:customStyle="1">
    <w:name w:val="Grid Table 5 Dark"/>
    <w:basedOn w:val="66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56" w:customStyle="1">
    <w:name w:val="Grid Table 5 Dark- Accent 1"/>
    <w:basedOn w:val="66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57" w:customStyle="1">
    <w:name w:val="Grid Table 5 Dark - Accent 2"/>
    <w:basedOn w:val="66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58" w:customStyle="1">
    <w:name w:val="Grid Table 5 Dark - Accent 3"/>
    <w:basedOn w:val="66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59" w:customStyle="1">
    <w:name w:val="Grid Table 5 Dark- Accent 4"/>
    <w:basedOn w:val="66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60" w:customStyle="1">
    <w:name w:val="Grid Table 5 Dark - Accent 5"/>
    <w:basedOn w:val="66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 - Accent 6"/>
    <w:basedOn w:val="66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6 Colorful"/>
    <w:basedOn w:val="66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69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69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69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69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69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69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7 Colorful"/>
    <w:basedOn w:val="66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0" w:customStyle="1">
    <w:name w:val="Grid Table 7 Colorful - Accent 1"/>
    <w:basedOn w:val="669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71" w:customStyle="1">
    <w:name w:val="Grid Table 7 Colorful - Accent 2"/>
    <w:basedOn w:val="669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2" w:customStyle="1">
    <w:name w:val="Grid Table 7 Colorful - Accent 3"/>
    <w:basedOn w:val="669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73" w:customStyle="1">
    <w:name w:val="Grid Table 7 Colorful - Accent 4"/>
    <w:basedOn w:val="669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4" w:customStyle="1">
    <w:name w:val="Grid Table 7 Colorful - Accent 5"/>
    <w:basedOn w:val="669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75" w:customStyle="1">
    <w:name w:val="Grid Table 7 Colorful - Accent 6"/>
    <w:basedOn w:val="669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76" w:customStyle="1">
    <w:name w:val="List Table 1 Light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1 Light - Accent 1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1 Light - Accent 2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1 Light - Accent 3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1 Light - Accent 4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1 Light - Accent 5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6"/>
    <w:basedOn w:val="6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2"/>
    <w:basedOn w:val="66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4" w:customStyle="1">
    <w:name w:val="List Table 2 - Accent 1"/>
    <w:basedOn w:val="669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85" w:customStyle="1">
    <w:name w:val="List Table 2 - Accent 2"/>
    <w:basedOn w:val="669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86" w:customStyle="1">
    <w:name w:val="List Table 2 - Accent 3"/>
    <w:basedOn w:val="669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87" w:customStyle="1">
    <w:name w:val="List Table 2 - Accent 4"/>
    <w:basedOn w:val="669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88" w:customStyle="1">
    <w:name w:val="List Table 2 - Accent 5"/>
    <w:basedOn w:val="669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89" w:customStyle="1">
    <w:name w:val="List Table 2 - Accent 6"/>
    <w:basedOn w:val="669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90" w:customStyle="1">
    <w:name w:val="List Table 3"/>
    <w:basedOn w:val="66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69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69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69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69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69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69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"/>
    <w:basedOn w:val="66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69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69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69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69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69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69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5 Dark"/>
    <w:basedOn w:val="66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69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69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69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69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69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69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6 Colorful"/>
    <w:basedOn w:val="66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2" w:customStyle="1">
    <w:name w:val="List Table 6 Colorful - Accent 1"/>
    <w:basedOn w:val="669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13" w:customStyle="1">
    <w:name w:val="List Table 6 Colorful - Accent 2"/>
    <w:basedOn w:val="669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14" w:customStyle="1">
    <w:name w:val="List Table 6 Colorful - Accent 3"/>
    <w:basedOn w:val="669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15" w:customStyle="1">
    <w:name w:val="List Table 6 Colorful - Accent 4"/>
    <w:basedOn w:val="669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16" w:customStyle="1">
    <w:name w:val="List Table 6 Colorful - Accent 5"/>
    <w:basedOn w:val="669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17" w:customStyle="1">
    <w:name w:val="List Table 6 Colorful - Accent 6"/>
    <w:basedOn w:val="669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18" w:customStyle="1">
    <w:name w:val="List Table 7 Colorful"/>
    <w:basedOn w:val="66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19" w:customStyle="1">
    <w:name w:val="List Table 7 Colorful - Accent 1"/>
    <w:basedOn w:val="669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20" w:customStyle="1">
    <w:name w:val="List Table 7 Colorful - Accent 2"/>
    <w:basedOn w:val="669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21" w:customStyle="1">
    <w:name w:val="List Table 7 Colorful - Accent 3"/>
    <w:basedOn w:val="669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22" w:customStyle="1">
    <w:name w:val="List Table 7 Colorful - Accent 4"/>
    <w:basedOn w:val="669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23" w:customStyle="1">
    <w:name w:val="List Table 7 Colorful - Accent 5"/>
    <w:basedOn w:val="669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24" w:customStyle="1">
    <w:name w:val="List Table 7 Colorful - Accent 6"/>
    <w:basedOn w:val="669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25" w:customStyle="1">
    <w:name w:val="Lined - Accent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26" w:customStyle="1">
    <w:name w:val="Lined - Accent 1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27" w:customStyle="1">
    <w:name w:val="Lined - Accent 2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28" w:customStyle="1">
    <w:name w:val="Lined - Accent 3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29" w:customStyle="1">
    <w:name w:val="Lined - Accent 4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30" w:customStyle="1">
    <w:name w:val="Lined - Accent 5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31" w:customStyle="1">
    <w:name w:val="Lined - Accent 6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32" w:customStyle="1">
    <w:name w:val="Bordered &amp; Lined - Accent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33" w:customStyle="1">
    <w:name w:val="Bordered &amp; Lined - Accent 1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34" w:customStyle="1">
    <w:name w:val="Bordered &amp; Lined - Accent 2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35" w:customStyle="1">
    <w:name w:val="Bordered &amp; Lined - Accent 3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36" w:customStyle="1">
    <w:name w:val="Bordered &amp; Lined - Accent 4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37" w:customStyle="1">
    <w:name w:val="Bordered &amp; Lined - Accent 5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38" w:customStyle="1">
    <w:name w:val="Bordered &amp; Lined - Accent 6"/>
    <w:basedOn w:val="66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39" w:customStyle="1">
    <w:name w:val="Bordered"/>
    <w:basedOn w:val="669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40" w:customStyle="1">
    <w:name w:val="Bordered - Accent 1"/>
    <w:basedOn w:val="669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41" w:customStyle="1">
    <w:name w:val="Bordered - Accent 2"/>
    <w:basedOn w:val="669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42" w:customStyle="1">
    <w:name w:val="Bordered - Accent 3"/>
    <w:basedOn w:val="669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43" w:customStyle="1">
    <w:name w:val="Bordered - Accent 4"/>
    <w:basedOn w:val="669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44" w:customStyle="1">
    <w:name w:val="Bordered - Accent 5"/>
    <w:basedOn w:val="669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45" w:customStyle="1">
    <w:name w:val="Bordered - Accent 6"/>
    <w:basedOn w:val="669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66"/>
    <w:link w:val="848"/>
    <w:uiPriority w:val="99"/>
    <w:semiHidden/>
    <w:unhideWhenUsed/>
    <w:rPr>
      <w:sz w:val="18"/>
    </w:rPr>
    <w:pPr>
      <w:spacing w:after="40"/>
    </w:p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68"/>
    <w:uiPriority w:val="99"/>
    <w:unhideWhenUsed/>
    <w:rPr>
      <w:vertAlign w:val="superscript"/>
    </w:rPr>
  </w:style>
  <w:style w:type="paragraph" w:styleId="850">
    <w:name w:val="endnote text"/>
    <w:basedOn w:val="666"/>
    <w:link w:val="851"/>
    <w:uiPriority w:val="99"/>
    <w:semiHidden/>
    <w:unhideWhenUsed/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68"/>
    <w:uiPriority w:val="99"/>
    <w:semiHidden/>
    <w:unhideWhenUsed/>
    <w:rPr>
      <w:vertAlign w:val="superscript"/>
    </w:rPr>
  </w:style>
  <w:style w:type="paragraph" w:styleId="853">
    <w:name w:val="toc 1"/>
    <w:basedOn w:val="666"/>
    <w:next w:val="666"/>
    <w:uiPriority w:val="39"/>
    <w:unhideWhenUsed/>
    <w:pPr>
      <w:spacing w:after="57"/>
    </w:pPr>
  </w:style>
  <w:style w:type="paragraph" w:styleId="854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5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6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7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8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59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0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1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66"/>
    <w:next w:val="666"/>
    <w:uiPriority w:val="99"/>
    <w:unhideWhenUsed/>
  </w:style>
  <w:style w:type="character" w:styleId="864" w:customStyle="1">
    <w:name w:val="Интернет-ссылка"/>
    <w:uiPriority w:val="99"/>
    <w:semiHidden/>
    <w:unhideWhenUsed/>
    <w:rPr>
      <w:color w:val="0000FF"/>
      <w:u w:val="single"/>
    </w:rPr>
  </w:style>
  <w:style w:type="character" w:styleId="865" w:customStyle="1">
    <w:name w:val="Заголовок 2 Знак"/>
    <w:basedOn w:val="668"/>
    <w:uiPriority w:val="9"/>
    <w:rPr>
      <w:rFonts w:eastAsia="Times New Roman"/>
      <w:b/>
      <w:bCs/>
      <w:sz w:val="36"/>
      <w:szCs w:val="36"/>
      <w:lang w:eastAsia="ru-RU"/>
    </w:rPr>
  </w:style>
  <w:style w:type="character" w:styleId="866" w:customStyle="1">
    <w:name w:val="Заголовок 4 Знак"/>
    <w:basedOn w:val="668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867" w:customStyle="1">
    <w:name w:val="bx-font"/>
    <w:basedOn w:val="668"/>
  </w:style>
  <w:style w:type="character" w:styleId="868" w:customStyle="1">
    <w:name w:val="docdata"/>
    <w:basedOn w:val="668"/>
  </w:style>
  <w:style w:type="character" w:styleId="869" w:customStyle="1">
    <w:name w:val="apple-converted-space"/>
    <w:basedOn w:val="668"/>
  </w:style>
  <w:style w:type="character" w:styleId="870">
    <w:name w:val="FollowedHyperlink"/>
    <w:basedOn w:val="668"/>
    <w:uiPriority w:val="99"/>
    <w:semiHidden/>
    <w:unhideWhenUsed/>
    <w:rPr>
      <w:color w:val="800080" w:themeColor="followedHyperlink"/>
      <w:u w:val="single"/>
    </w:rPr>
  </w:style>
  <w:style w:type="character" w:styleId="871">
    <w:name w:val="Emphasis"/>
    <w:rPr>
      <w:i/>
      <w:iCs/>
    </w:rPr>
  </w:style>
  <w:style w:type="paragraph" w:styleId="872">
    <w:name w:val="Body Text"/>
    <w:basedOn w:val="666"/>
    <w:pPr>
      <w:spacing w:lineRule="auto" w:line="288" w:after="140"/>
    </w:pPr>
  </w:style>
  <w:style w:type="paragraph" w:styleId="873">
    <w:name w:val="List"/>
    <w:basedOn w:val="872"/>
    <w:rPr>
      <w:rFonts w:cs="Mangal"/>
    </w:rPr>
  </w:style>
  <w:style w:type="paragraph" w:styleId="874" w:customStyle="1">
    <w:name w:val="Название1"/>
    <w:basedOn w:val="666"/>
    <w:rPr>
      <w:rFonts w:cs="Mangal"/>
      <w:i/>
      <w:iCs/>
    </w:rPr>
    <w:pPr>
      <w:spacing w:after="120" w:before="120"/>
      <w:suppressLineNumbers/>
    </w:pPr>
  </w:style>
  <w:style w:type="paragraph" w:styleId="875">
    <w:name w:val="index heading"/>
    <w:basedOn w:val="666"/>
    <w:rPr>
      <w:rFonts w:cs="Mangal"/>
    </w:rPr>
    <w:pPr>
      <w:suppressLineNumbers/>
    </w:pPr>
  </w:style>
  <w:style w:type="paragraph" w:styleId="876" w:customStyle="1">
    <w:name w:val="LO-normal"/>
    <w:rPr>
      <w:rFonts w:eastAsia="Times New Roman"/>
      <w:sz w:val="24"/>
      <w:szCs w:val="24"/>
      <w:lang w:eastAsia="zh-CN"/>
    </w:rPr>
  </w:style>
  <w:style w:type="paragraph" w:styleId="877">
    <w:name w:val="Normal (Web)"/>
    <w:basedOn w:val="666"/>
    <w:uiPriority w:val="99"/>
    <w:unhideWhenUsed/>
    <w:pPr>
      <w:spacing w:after="280" w:before="280"/>
    </w:pPr>
  </w:style>
  <w:style w:type="paragraph" w:styleId="878">
    <w:name w:val="No Spacing"/>
    <w:qFormat/>
    <w:uiPriority w:val="1"/>
    <w:rPr>
      <w:rFonts w:eastAsia="Times New Roman"/>
      <w:sz w:val="22"/>
      <w:szCs w:val="22"/>
      <w:lang w:eastAsia="ru-RU"/>
    </w:rPr>
    <w:pPr>
      <w:widowControl w:val="off"/>
    </w:pPr>
  </w:style>
  <w:style w:type="paragraph" w:styleId="879">
    <w:name w:val="List Paragraph"/>
    <w:basedOn w:val="666"/>
    <w:qFormat/>
    <w:uiPriority w:val="34"/>
    <w:pPr>
      <w:contextualSpacing w:val="true"/>
      <w:ind w:left="720"/>
    </w:pPr>
  </w:style>
  <w:style w:type="paragraph" w:styleId="880" w:customStyle="1">
    <w:name w:val="Содержимое таблицы"/>
    <w:basedOn w:val="666"/>
  </w:style>
  <w:style w:type="paragraph" w:styleId="881" w:customStyle="1">
    <w:name w:val="Заголовок таблицы"/>
    <w:basedOn w:val="880"/>
  </w:style>
  <w:style w:type="paragraph" w:styleId="882">
    <w:name w:val="Header"/>
    <w:basedOn w:val="666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1"/>
    <w:basedOn w:val="668"/>
    <w:link w:val="882"/>
    <w:uiPriority w:val="99"/>
    <w:semiHidden/>
    <w:rPr>
      <w:rFonts w:eastAsia="Times New Roman"/>
      <w:sz w:val="24"/>
      <w:szCs w:val="24"/>
      <w:lang w:eastAsia="ru-RU"/>
    </w:rPr>
  </w:style>
  <w:style w:type="paragraph" w:styleId="884">
    <w:name w:val="Footer"/>
    <w:basedOn w:val="666"/>
    <w:link w:val="88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1"/>
    <w:basedOn w:val="668"/>
    <w:link w:val="884"/>
    <w:uiPriority w:val="99"/>
    <w:semiHidden/>
    <w:rPr>
      <w:rFonts w:eastAsia="Times New Roman"/>
      <w:sz w:val="24"/>
      <w:szCs w:val="24"/>
      <w:lang w:eastAsia="ru-RU"/>
    </w:rPr>
  </w:style>
  <w:style w:type="character" w:styleId="886" w:customStyle="1">
    <w:name w:val="Заголовок 1 Знак1"/>
    <w:basedOn w:val="668"/>
    <w:link w:val="66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http://government.ru/docs/44122" TargetMode="External"/><Relationship Id="rId14" Type="http://schemas.openxmlformats.org/officeDocument/2006/relationships/hyperlink" Target="http://static.government.ru/media/files/rPqTKcZXAGKm9YF3xVcoANoHZSUnnpE6.pdf" TargetMode="External"/><Relationship Id="rId15" Type="http://schemas.openxmlformats.org/officeDocument/2006/relationships/hyperlink" Target="https://fnpr.ru/events/novosti-fnpr/profsoyuzy-sformulirovali-popravki-k-programme-sodeystviya-zanyatosti-molodyezhi-podgotovlennoy-mint.html?sphrase_id=7469" TargetMode="External"/><Relationship Id="rId16" Type="http://schemas.openxmlformats.org/officeDocument/2006/relationships/hyperlink" Target="https://fnpr.ru/events/novosti-fnpr/fnpr-prinyala-uchastie-v-obsuzhdenii-prav-i-garantiy-trudyashcheysya-molodezhi-v-gosdume.html?sphrase_id=7469" TargetMode="External"/><Relationship Id="rId17" Type="http://schemas.openxmlformats.org/officeDocument/2006/relationships/hyperlink" Target="https://fnpr.ru/events/novosti-fnpr/na-ocherednom-zasedanii-rtk-glava-fnpr-vystupil-protiv-mintrudovskogo-podkhoda-k-opredeleniyu-granits.html?sphrase_id=74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E0B90FC-3202-41FF-BDA4-20B73F4E4F0D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A.N.Shubina</dc:creator>
  <dc:language>ru-RU</dc:language>
  <cp:lastModifiedBy>Дарья Рыманова</cp:lastModifiedBy>
  <cp:revision>24</cp:revision>
  <dcterms:created xsi:type="dcterms:W3CDTF">2022-02-02T13:11:00Z</dcterms:created>
  <dcterms:modified xsi:type="dcterms:W3CDTF">2022-02-15T14:55:23Z</dcterms:modified>
</cp:coreProperties>
</file>